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7EC5AA7" w:rsidR="00093CA9" w:rsidRDefault="00BD699D" w:rsidP="00093CA9">
            <w:r w:rsidRPr="00BD699D">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C1C8401" w:rsidR="00093CA9" w:rsidRDefault="00B50403" w:rsidP="00093CA9">
            <w:r w:rsidRPr="00374A34">
              <w:t xml:space="preserve">Ras Al Khaimah Green Public Procurement Guidelines </w:t>
            </w:r>
            <w:r>
              <w:t xml:space="preserve">(the </w:t>
            </w:r>
            <w:r w:rsidRPr="00B50403">
              <w:rPr>
                <w:b/>
                <w:bCs/>
              </w:rPr>
              <w:t>Policy Tool</w:t>
            </w:r>
            <w:r>
              <w:t xml:space="preserve">) </w:t>
            </w:r>
            <w:r w:rsidRPr="00374A34">
              <w:t>pursuant to Resolution No</w:t>
            </w:r>
            <w:r>
              <w:t xml:space="preserve">. </w:t>
            </w:r>
            <w:r w:rsidRPr="00374A34">
              <w:t xml:space="preserve">19 of 2024 regarding the </w:t>
            </w:r>
            <w:r>
              <w:t>A</w:t>
            </w:r>
            <w:r w:rsidRPr="00374A34">
              <w:t xml:space="preserve">doption of </w:t>
            </w:r>
            <w:r>
              <w:t>G</w:t>
            </w:r>
            <w:r w:rsidRPr="00374A34">
              <w:t xml:space="preserve">reen </w:t>
            </w:r>
            <w:r>
              <w:t>P</w:t>
            </w:r>
            <w:r w:rsidRPr="00374A34">
              <w:t xml:space="preserve">rocurement by </w:t>
            </w:r>
            <w:r>
              <w:t>G</w:t>
            </w:r>
            <w:r w:rsidRPr="00374A34">
              <w:t xml:space="preserve">overnment </w:t>
            </w:r>
            <w:r>
              <w:t>D</w:t>
            </w:r>
            <w:r w:rsidRPr="00374A34">
              <w:t xml:space="preserve">epartments and </w:t>
            </w:r>
            <w:r>
              <w:t>G</w:t>
            </w:r>
            <w:r w:rsidRPr="00374A34">
              <w:t xml:space="preserve">overnment </w:t>
            </w:r>
            <w:r>
              <w:t>O</w:t>
            </w:r>
            <w:r w:rsidRPr="00374A34">
              <w:t xml:space="preserve">wned </w:t>
            </w:r>
            <w:r>
              <w:t>C</w:t>
            </w:r>
            <w:r w:rsidRPr="00374A34">
              <w:t>ompanies in Ras Al Khaimah</w:t>
            </w:r>
            <w:r>
              <w:t xml:space="preserve"> (</w:t>
            </w:r>
            <w:r w:rsidRPr="00B50403">
              <w:rPr>
                <w:b/>
                <w:bCs/>
              </w:rPr>
              <w:t>Resolution No.19 of 2024</w:t>
            </w:r>
            <w: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070B12D" w14:textId="35AFAA0C" w:rsidR="00093CA9" w:rsidRDefault="00B50403" w:rsidP="00B50403">
            <w:pPr>
              <w:pStyle w:val="ListParagraph"/>
              <w:numPr>
                <w:ilvl w:val="0"/>
                <w:numId w:val="49"/>
              </w:numPr>
            </w:pPr>
            <w:hyperlink r:id="rId17" w:history="1">
              <w:r w:rsidRPr="00B50403">
                <w:rPr>
                  <w:rStyle w:val="Hyperlink"/>
                </w:rPr>
                <w:t>Ras Al Khaimah Green Public Procurement Guidelines pursuant to Resolution No. 19 of 2024 regarding the Adoption of Green Procurement by Government Departments and Government Owned Companies in Ras Al Khaimah.</w:t>
              </w:r>
            </w:hyperlink>
          </w:p>
          <w:p w14:paraId="1523C232" w14:textId="3C502D95" w:rsidR="00B50403" w:rsidRDefault="00B50403" w:rsidP="00B50403">
            <w:pPr>
              <w:pStyle w:val="ListParagraph"/>
              <w:numPr>
                <w:ilvl w:val="0"/>
                <w:numId w:val="49"/>
              </w:numPr>
            </w:pPr>
            <w:hyperlink r:id="rId18" w:history="1">
              <w:r w:rsidRPr="00B50403">
                <w:rPr>
                  <w:rStyle w:val="Hyperlink"/>
                </w:rPr>
                <w:t>Resolution No. 19 of 2024 regarding the Adoption of Green Procurement by Government Departments and Government Owned Companies in Ras Al Khaimah.</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388FC5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59C884" w:rsidR="00093CA9" w:rsidRDefault="00374A34"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E44740E" w:rsidR="00B50403" w:rsidRDefault="00B50403" w:rsidP="00093CA9">
            <w:r w:rsidRPr="00B50403">
              <w:t xml:space="preserve">The Policy Tool requires government departments and government-owned companies in Ras Al Khaimah </w:t>
            </w:r>
            <w:r>
              <w:t>(</w:t>
            </w:r>
            <w:r w:rsidRPr="00B50403">
              <w:rPr>
                <w:b/>
                <w:bCs/>
              </w:rPr>
              <w:t>RAK</w:t>
            </w:r>
            <w:r>
              <w:t xml:space="preserve">) </w:t>
            </w:r>
            <w:r w:rsidRPr="00B50403">
              <w:t xml:space="preserve">to </w:t>
            </w:r>
            <w:r>
              <w:t>adopt green public procurement (</w:t>
            </w:r>
            <w:r w:rsidRPr="00B50403">
              <w:rPr>
                <w:b/>
                <w:bCs/>
              </w:rPr>
              <w:t>GPP</w:t>
            </w:r>
            <w:r>
              <w:t xml:space="preserve">) by </w:t>
            </w:r>
            <w:r w:rsidRPr="00B50403">
              <w:t>prioritis</w:t>
            </w:r>
            <w:r>
              <w:t>ing</w:t>
            </w:r>
            <w:r w:rsidRPr="00B50403">
              <w:t xml:space="preserve"> the procurement of products, services, and works that have a reduced environmental impact throughout their entire life cycle. It establishes minimum technical and environmental standards for purchasing, introduces a system to reward suppliers for sustainable practices, and obliges entities to set annual targets and report on their progress. This ensures that public procurement decisions </w:t>
            </w:r>
            <w:proofErr w:type="gramStart"/>
            <w:r w:rsidRPr="00B50403">
              <w:t>take into account</w:t>
            </w:r>
            <w:proofErr w:type="gramEnd"/>
            <w:r w:rsidRPr="00B50403">
              <w:t xml:space="preserve"> not only the initial purchase price, but also factors such as energy and water efficiency, waste reduction, and support for local suppliers.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3443637" w:rsidR="00093CA9" w:rsidRDefault="00B5040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D683357" w:rsidR="00093CA9" w:rsidRPr="00173D7C" w:rsidRDefault="00B50403" w:rsidP="00093CA9">
            <w:pPr>
              <w:rPr>
                <w:color w:val="000000" w:themeColor="text1"/>
              </w:rPr>
            </w:pPr>
            <w:r>
              <w:rPr>
                <w:color w:val="000000" w:themeColor="text1"/>
              </w:rPr>
              <w:t xml:space="preserve">2024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0C7659A" w:rsidR="00093CA9" w:rsidRPr="00173D7C" w:rsidRDefault="00B50403" w:rsidP="00093CA9">
            <w:pPr>
              <w:rPr>
                <w:color w:val="000000" w:themeColor="text1"/>
              </w:rPr>
            </w:pPr>
            <w:r w:rsidRPr="00B50403">
              <w:rPr>
                <w:color w:val="000000" w:themeColor="text1"/>
              </w:rPr>
              <w:t>The Policy Tool is planned for mandatory adoption starting from 2024, with the implementation process and reporting cycle commencing in 2025. The first-year reporting cycle is scheduled to begin in 2026.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712C6F60" w14:textId="77777777" w:rsidR="00B50403" w:rsidRPr="00B50403" w:rsidRDefault="00B50403" w:rsidP="00B50403">
            <w:pPr>
              <w:rPr>
                <w:color w:val="000000" w:themeColor="text1"/>
              </w:rPr>
            </w:pPr>
            <w:r w:rsidRPr="00B50403">
              <w:rPr>
                <w:color w:val="000000" w:themeColor="text1"/>
              </w:rPr>
              <w:t>The entry into force of the Policy Tool is phased as follows:</w:t>
            </w:r>
          </w:p>
          <w:p w14:paraId="21688F22" w14:textId="77777777" w:rsidR="00B50403" w:rsidRDefault="00B50403" w:rsidP="00B50403">
            <w:pPr>
              <w:pStyle w:val="ListParagraph"/>
              <w:numPr>
                <w:ilvl w:val="0"/>
                <w:numId w:val="49"/>
              </w:numPr>
              <w:rPr>
                <w:color w:val="000000" w:themeColor="text1"/>
              </w:rPr>
            </w:pPr>
            <w:r w:rsidRPr="00B50403">
              <w:rPr>
                <w:b/>
                <w:bCs/>
                <w:color w:val="000000" w:themeColor="text1"/>
              </w:rPr>
              <w:lastRenderedPageBreak/>
              <w:t>2024:</w:t>
            </w:r>
            <w:r w:rsidRPr="00B50403">
              <w:rPr>
                <w:color w:val="000000" w:themeColor="text1"/>
              </w:rPr>
              <w:t xml:space="preserve"> Formal adoption and issuance of the Policy Tool (Q4 2024).</w:t>
            </w:r>
          </w:p>
          <w:p w14:paraId="3770D421" w14:textId="77777777" w:rsidR="00B50403" w:rsidRDefault="00B50403" w:rsidP="00B50403">
            <w:pPr>
              <w:pStyle w:val="ListParagraph"/>
              <w:numPr>
                <w:ilvl w:val="0"/>
                <w:numId w:val="49"/>
              </w:numPr>
              <w:rPr>
                <w:color w:val="000000" w:themeColor="text1"/>
              </w:rPr>
            </w:pPr>
            <w:r w:rsidRPr="00B50403">
              <w:rPr>
                <w:b/>
                <w:bCs/>
                <w:color w:val="000000" w:themeColor="text1"/>
              </w:rPr>
              <w:t>2025:</w:t>
            </w:r>
            <w:r w:rsidRPr="00B50403">
              <w:rPr>
                <w:color w:val="000000" w:themeColor="text1"/>
              </w:rPr>
              <w:t xml:space="preserve"> Implementation activities, including nomination of responsible staff, training, and the establishment of internal policies and systems (Q1–Q4 2025).</w:t>
            </w:r>
          </w:p>
          <w:p w14:paraId="78C764C3" w14:textId="77777777" w:rsidR="00B50403" w:rsidRDefault="00B50403" w:rsidP="00B50403">
            <w:pPr>
              <w:pStyle w:val="ListParagraph"/>
              <w:numPr>
                <w:ilvl w:val="0"/>
                <w:numId w:val="49"/>
              </w:numPr>
              <w:rPr>
                <w:color w:val="000000" w:themeColor="text1"/>
              </w:rPr>
            </w:pPr>
            <w:r w:rsidRPr="00B50403">
              <w:rPr>
                <w:b/>
                <w:bCs/>
                <w:color w:val="000000" w:themeColor="text1"/>
              </w:rPr>
              <w:t>2026:</w:t>
            </w:r>
            <w:r w:rsidRPr="00B50403">
              <w:rPr>
                <w:color w:val="000000" w:themeColor="text1"/>
              </w:rPr>
              <w:t xml:space="preserve"> Commencement of the first annual reporting cycle (from Q1 2026).</w:t>
            </w:r>
          </w:p>
          <w:p w14:paraId="1A1B9D26" w14:textId="428A8345" w:rsidR="00093CA9" w:rsidRPr="00B50403" w:rsidRDefault="00B50403" w:rsidP="00093CA9">
            <w:pPr>
              <w:pStyle w:val="ListParagraph"/>
              <w:numPr>
                <w:ilvl w:val="0"/>
                <w:numId w:val="49"/>
              </w:numPr>
              <w:rPr>
                <w:color w:val="000000" w:themeColor="text1"/>
              </w:rPr>
            </w:pPr>
            <w:r w:rsidRPr="00B50403">
              <w:rPr>
                <w:b/>
                <w:bCs/>
                <w:color w:val="000000" w:themeColor="text1"/>
              </w:rPr>
              <w:t>2027 onwards:</w:t>
            </w:r>
            <w:r w:rsidRPr="00B50403">
              <w:rPr>
                <w:color w:val="000000" w:themeColor="text1"/>
              </w:rPr>
              <w:t xml:space="preserve"> Periodic review and update of the Policy Tool and its criteria, at least every three years (from Q1 2027).</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82F863C" w:rsidR="00093CA9" w:rsidRDefault="00B50403" w:rsidP="00093CA9">
            <w:r w:rsidRPr="00B50403">
              <w:t>Chairman of the Energy Efficiency and Renewables Committee</w:t>
            </w:r>
            <w:r>
              <w:t xml:space="preserve">, </w:t>
            </w:r>
            <w:r w:rsidRPr="00B50403">
              <w:t xml:space="preserve">a </w:t>
            </w:r>
            <w:r>
              <w:t>government committee established</w:t>
            </w:r>
            <w:r w:rsidRPr="00B50403">
              <w:t xml:space="preserve"> by </w:t>
            </w:r>
            <w:r>
              <w:t xml:space="preserve">Ras Al Khaimah </w:t>
            </w:r>
            <w:r w:rsidRPr="00B50403">
              <w:t>Emiri Decree No. 27/2017 to support the Energy Efficiency and Renewables Sector of Ras Al Khaimah Municipality.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46978BC" w:rsidR="00093CA9" w:rsidRPr="006B7B0D" w:rsidRDefault="00B50403" w:rsidP="00093CA9">
            <w:r w:rsidRPr="00B50403">
              <w:t>Energy Efficiency and Renewables Sector of Ras Al Khaimah Municipality</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23D990B" w:rsidR="00093CA9" w:rsidRPr="006B7B0D" w:rsidRDefault="00B5040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57B9B72" w:rsidR="00093CA9" w:rsidRDefault="005F6922"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D699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D699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3FE96B0C" w:rsidR="00D4323A" w:rsidRPr="00610F28" w:rsidRDefault="00B50403"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5785B7CF" w:rsidR="00D4323A" w:rsidRPr="00610F28" w:rsidRDefault="00B50403"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5D4FC000" w:rsidR="00D4323A" w:rsidRPr="00610F28" w:rsidRDefault="00B50403"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2A24B565" w:rsidR="00D4323A" w:rsidRPr="00610F28" w:rsidRDefault="00B50403"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00250E65" w:rsidR="00D4323A" w:rsidRPr="00610F28" w:rsidRDefault="00B50403"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0D705976" w:rsidR="00D4323A" w:rsidRPr="00610F28" w:rsidRDefault="00B50403"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4D895701"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28DBA5B2" w:rsidR="00D4323A" w:rsidRPr="00610F28" w:rsidRDefault="00B50403"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0156544E" w:rsidR="00D4323A" w:rsidRPr="00610F28" w:rsidRDefault="00B50403"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67ECF0BA" w:rsidR="00D4323A" w:rsidRPr="00610F28" w:rsidRDefault="00B50403"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07DBF8D9" w:rsidR="00D4323A" w:rsidRPr="00610F28" w:rsidRDefault="00B50403"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1CE663A4" w:rsidR="00D4323A" w:rsidRPr="00610F28" w:rsidRDefault="00B50403"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8BC85F2" w:rsidR="00D4323A" w:rsidRPr="00610F28" w:rsidRDefault="00B50403"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36B85E7" w:rsidR="00D4323A" w:rsidRPr="00610F28" w:rsidRDefault="00B50403"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D699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6F6AE1EE" w:rsidR="00C66EE0" w:rsidRPr="00610F28" w:rsidRDefault="00B50403" w:rsidP="00610F28">
            <w:pPr>
              <w:rPr>
                <w:rFonts w:ascii="Calibri" w:hAnsi="Calibri" w:cs="Calibri"/>
              </w:rPr>
            </w:pPr>
            <w:r w:rsidRPr="00B50403">
              <w:rPr>
                <w:rFonts w:ascii="Calibri" w:hAnsi="Calibri" w:cs="Calibri"/>
              </w:rPr>
              <w:t>The Policy Tool applies mandatorily to entities only if they are government departments or government-owned companies of Ras Al Khaimah</w:t>
            </w:r>
            <w:r>
              <w:rPr>
                <w:rFonts w:ascii="Calibri" w:hAnsi="Calibri" w:cs="Calibri"/>
              </w:rPr>
              <w:t>.</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5294CBF"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4C722E1A" w:rsidR="00C66EE0" w:rsidRPr="00610F28" w:rsidRDefault="00B50403" w:rsidP="00610F28">
            <w:pPr>
              <w:rPr>
                <w:rFonts w:ascii="Calibri" w:hAnsi="Calibri" w:cs="Calibri"/>
              </w:rPr>
            </w:pPr>
            <w:r>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535F78E1" w:rsidR="00C66EE0" w:rsidRPr="00610F28" w:rsidRDefault="00B50403"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lastRenderedPageBreak/>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D3BD001"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0E6C7F86" w:rsidR="00C66EE0" w:rsidRPr="00610F28" w:rsidRDefault="00B50403"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04E03C6" w14:textId="3A51CB8D" w:rsidR="00B50403" w:rsidRDefault="00B50403" w:rsidP="00B50403">
            <w:pPr>
              <w:pStyle w:val="ListParagraph"/>
              <w:numPr>
                <w:ilvl w:val="0"/>
                <w:numId w:val="49"/>
              </w:numPr>
              <w:rPr>
                <w:rFonts w:ascii="Calibri" w:hAnsi="Calibri" w:cs="Calibri"/>
              </w:rPr>
            </w:pPr>
            <w:r w:rsidRPr="00B50403">
              <w:rPr>
                <w:rFonts w:ascii="Calibri" w:hAnsi="Calibri" w:cs="Calibri"/>
              </w:rPr>
              <w:t xml:space="preserve">In November 2020, Ras Al Khaimah Municipality held a virtual event to officially launch the </w:t>
            </w:r>
            <w:r>
              <w:rPr>
                <w:rFonts w:ascii="Calibri" w:hAnsi="Calibri" w:cs="Calibri"/>
              </w:rPr>
              <w:t>GPP</w:t>
            </w:r>
            <w:r w:rsidRPr="00B50403">
              <w:rPr>
                <w:rFonts w:ascii="Calibri" w:hAnsi="Calibri" w:cs="Calibri"/>
              </w:rPr>
              <w:t xml:space="preserve"> programme and introduce the </w:t>
            </w:r>
            <w:r>
              <w:rPr>
                <w:rFonts w:ascii="Calibri" w:hAnsi="Calibri" w:cs="Calibri"/>
              </w:rPr>
              <w:t>Policy Tool</w:t>
            </w:r>
            <w:r w:rsidRPr="00B50403">
              <w:rPr>
                <w:rFonts w:ascii="Calibri" w:hAnsi="Calibri" w:cs="Calibri"/>
              </w:rPr>
              <w:t>. The event was attended by officials from government entities, private organisations, and the media, and marked the start of systematic adoption of green criteria in government procurement</w:t>
            </w:r>
            <w:r>
              <w:rPr>
                <w:rFonts w:ascii="Calibri" w:hAnsi="Calibri" w:cs="Calibri"/>
              </w:rPr>
              <w:t>.</w:t>
            </w:r>
          </w:p>
          <w:p w14:paraId="32FF6341" w14:textId="77777777" w:rsidR="00B50403" w:rsidRDefault="00B50403" w:rsidP="00B50403">
            <w:pPr>
              <w:pStyle w:val="ListParagraph"/>
              <w:ind w:left="360"/>
              <w:rPr>
                <w:rFonts w:ascii="Calibri" w:hAnsi="Calibri" w:cs="Calibri"/>
              </w:rPr>
            </w:pPr>
          </w:p>
          <w:p w14:paraId="0EA56A3A" w14:textId="3E5F4346" w:rsidR="00B50403" w:rsidRPr="00B50403" w:rsidRDefault="00B50403" w:rsidP="00B50403">
            <w:pPr>
              <w:pStyle w:val="ListParagraph"/>
              <w:numPr>
                <w:ilvl w:val="0"/>
                <w:numId w:val="49"/>
              </w:numPr>
              <w:rPr>
                <w:rFonts w:ascii="Calibri" w:hAnsi="Calibri" w:cs="Calibri"/>
              </w:rPr>
            </w:pPr>
            <w:r w:rsidRPr="00B50403">
              <w:rPr>
                <w:rFonts w:ascii="Calibri" w:hAnsi="Calibri" w:cs="Calibri"/>
              </w:rPr>
              <w:t>In January 2022, Ras Al Khaimah Municipality held a workshop to launch new green public procurement initiatives, including “single-use plastic no more” and “go paperless.” This event included a formal signing ceremony with senior officials from multiple government entities, demonstrating high-level commitment and further enforcement of the</w:t>
            </w:r>
            <w:r>
              <w:rPr>
                <w:rFonts w:ascii="Calibri" w:hAnsi="Calibri" w:cs="Calibri"/>
              </w:rPr>
              <w:t xml:space="preserve"> P</w:t>
            </w:r>
            <w:r w:rsidRPr="00B50403">
              <w:rPr>
                <w:rFonts w:ascii="Calibri" w:hAnsi="Calibri" w:cs="Calibri"/>
              </w:rPr>
              <w:t xml:space="preserve">olicy </w:t>
            </w:r>
            <w:r>
              <w:rPr>
                <w:rFonts w:ascii="Calibri" w:hAnsi="Calibri" w:cs="Calibri"/>
              </w:rPr>
              <w:t>T</w:t>
            </w:r>
            <w:r w:rsidRPr="00B50403">
              <w:rPr>
                <w:rFonts w:ascii="Calibri" w:hAnsi="Calibri" w:cs="Calibri"/>
              </w:rPr>
              <w:t>ool.</w:t>
            </w:r>
          </w:p>
          <w:p w14:paraId="578D503E" w14:textId="73C06E70" w:rsidR="00B50403" w:rsidRPr="00B50403" w:rsidRDefault="00B50403" w:rsidP="00B50403">
            <w:pPr>
              <w:rPr>
                <w:rFonts w:ascii="Calibri" w:hAnsi="Calibri" w:cs="Calibri"/>
                <w:u w:val="single"/>
              </w:rPr>
            </w:pPr>
            <w:r w:rsidRPr="00B50403">
              <w:rPr>
                <w:rFonts w:ascii="Calibri" w:hAnsi="Calibri" w:cs="Calibri"/>
                <w:u w:val="single"/>
              </w:rPr>
              <w:t>Sources:</w:t>
            </w:r>
          </w:p>
          <w:p w14:paraId="4DF66F60" w14:textId="321F518D" w:rsidR="00B50403" w:rsidRPr="00B50403" w:rsidRDefault="00B50403" w:rsidP="00B50403">
            <w:pPr>
              <w:pStyle w:val="ListParagraph"/>
              <w:numPr>
                <w:ilvl w:val="0"/>
                <w:numId w:val="49"/>
              </w:numPr>
              <w:rPr>
                <w:rFonts w:ascii="Calibri" w:hAnsi="Calibri" w:cs="Calibri"/>
              </w:rPr>
            </w:pPr>
            <w:hyperlink r:id="rId19" w:history="1">
              <w:r w:rsidRPr="00B50403">
                <w:rPr>
                  <w:rStyle w:val="Hyperlink"/>
                  <w:rFonts w:ascii="Calibri" w:hAnsi="Calibri" w:cs="Calibri"/>
                </w:rPr>
                <w:t>Emirates News Agency-</w:t>
              </w:r>
              <w:proofErr w:type="gramStart"/>
              <w:r w:rsidRPr="00B50403">
                <w:rPr>
                  <w:rStyle w:val="Hyperlink"/>
                  <w:rFonts w:ascii="Calibri" w:hAnsi="Calibri" w:cs="Calibri"/>
                </w:rPr>
                <w:t>WAM  -</w:t>
              </w:r>
              <w:proofErr w:type="gramEnd"/>
              <w:r w:rsidRPr="00B50403">
                <w:rPr>
                  <w:rStyle w:val="Hyperlink"/>
                  <w:rFonts w:ascii="Calibri" w:hAnsi="Calibri" w:cs="Calibri"/>
                </w:rPr>
                <w:t xml:space="preserve"> "Ras Al Khaimah Municipality launches Green Public Procurement to reduce environmental impact, bring economic benefits"</w:t>
              </w:r>
            </w:hyperlink>
          </w:p>
          <w:p w14:paraId="59761ABE" w14:textId="77777777" w:rsidR="00B50403" w:rsidRPr="00B50403" w:rsidRDefault="00B50403" w:rsidP="00B50403">
            <w:pPr>
              <w:pStyle w:val="ListParagraph"/>
              <w:ind w:left="360"/>
              <w:rPr>
                <w:rFonts w:ascii="Calibri" w:hAnsi="Calibri" w:cs="Calibri"/>
              </w:rPr>
            </w:pPr>
          </w:p>
          <w:p w14:paraId="78F5284B" w14:textId="0DA9337F" w:rsidR="00B50403" w:rsidRPr="00B50403" w:rsidRDefault="00B50403" w:rsidP="00B50403">
            <w:pPr>
              <w:pStyle w:val="ListParagraph"/>
              <w:numPr>
                <w:ilvl w:val="0"/>
                <w:numId w:val="49"/>
              </w:numPr>
              <w:rPr>
                <w:rFonts w:ascii="Calibri" w:hAnsi="Calibri" w:cs="Calibri"/>
              </w:rPr>
            </w:pPr>
            <w:hyperlink r:id="rId20" w:history="1">
              <w:r w:rsidRPr="00B50403">
                <w:rPr>
                  <w:rStyle w:val="Hyperlink"/>
                  <w:rFonts w:ascii="Calibri" w:hAnsi="Calibri" w:cs="Calibri"/>
                </w:rPr>
                <w:t>Mechanical Energy Plumbing Middle East - "Ras Al Khaimah Municipality launches Green Public Procurement to reduce environmental impact and bring economic benefits"</w:t>
              </w:r>
            </w:hyperlink>
            <w:r w:rsidRPr="00B50403">
              <w:rPr>
                <w:rFonts w:ascii="Calibri" w:hAnsi="Calibri" w:cs="Calibri"/>
              </w:rPr>
              <w:t xml:space="preserve"> </w:t>
            </w:r>
          </w:p>
          <w:p w14:paraId="39F3B367" w14:textId="77777777" w:rsidR="00B50403" w:rsidRPr="00B50403" w:rsidRDefault="00B50403" w:rsidP="00B50403">
            <w:pPr>
              <w:pStyle w:val="ListParagraph"/>
              <w:rPr>
                <w:rFonts w:ascii="Calibri" w:hAnsi="Calibri" w:cs="Calibri"/>
              </w:rPr>
            </w:pPr>
          </w:p>
          <w:p w14:paraId="2B2D0494" w14:textId="0A0863F5" w:rsidR="00C66EE0" w:rsidRPr="00B50403" w:rsidRDefault="00B50403" w:rsidP="00B50403">
            <w:pPr>
              <w:pStyle w:val="ListParagraph"/>
              <w:numPr>
                <w:ilvl w:val="0"/>
                <w:numId w:val="49"/>
              </w:numPr>
              <w:rPr>
                <w:rFonts w:ascii="Calibri" w:hAnsi="Calibri" w:cs="Calibri"/>
              </w:rPr>
            </w:pPr>
            <w:hyperlink r:id="rId21" w:history="1">
              <w:r w:rsidRPr="00B50403">
                <w:rPr>
                  <w:rStyle w:val="Hyperlink"/>
                  <w:rFonts w:ascii="Calibri" w:hAnsi="Calibri" w:cs="Calibri"/>
                </w:rPr>
                <w:t>RAK Media Office - "Ras Al Khaimah Municipality Launches Green Public Procurement Initiatives"</w:t>
              </w:r>
            </w:hyperlink>
            <w:r>
              <w:rPr>
                <w:rFonts w:ascii="Calibri" w:hAnsi="Calibri" w:cs="Calibri"/>
              </w:rPr>
              <w:t xml:space="preserve"> </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364E948" w:rsidR="00C66EE0" w:rsidRPr="00610F28" w:rsidRDefault="00B50403"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67A4BCBA" w:rsidR="00DF50B5" w:rsidRPr="00610F28" w:rsidRDefault="00B50403"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15CDBCF1" w14:textId="493EF9BB" w:rsidR="00B50403" w:rsidRDefault="00B50403" w:rsidP="00B50403">
            <w:pPr>
              <w:rPr>
                <w:rFonts w:ascii="Calibri" w:hAnsi="Calibri" w:cs="Calibri"/>
              </w:rPr>
            </w:pPr>
            <w:r w:rsidRPr="00B50403">
              <w:rPr>
                <w:rFonts w:ascii="Calibri" w:hAnsi="Calibri" w:cs="Calibri"/>
              </w:rPr>
              <w:t xml:space="preserve">The </w:t>
            </w:r>
            <w:r>
              <w:rPr>
                <w:rFonts w:ascii="Calibri" w:hAnsi="Calibri" w:cs="Calibri"/>
              </w:rPr>
              <w:t>P</w:t>
            </w:r>
            <w:r w:rsidRPr="00B50403">
              <w:rPr>
                <w:rFonts w:ascii="Calibri" w:hAnsi="Calibri" w:cs="Calibri"/>
              </w:rPr>
              <w:t xml:space="preserve">olicy </w:t>
            </w:r>
            <w:r>
              <w:rPr>
                <w:rFonts w:ascii="Calibri" w:hAnsi="Calibri" w:cs="Calibri"/>
              </w:rPr>
              <w:t>T</w:t>
            </w:r>
            <w:r w:rsidRPr="00B50403">
              <w:rPr>
                <w:rFonts w:ascii="Calibri" w:hAnsi="Calibri" w:cs="Calibri"/>
              </w:rPr>
              <w:t xml:space="preserve">ool mandates that government departments and government-owned companies in </w:t>
            </w:r>
            <w:r>
              <w:rPr>
                <w:rFonts w:ascii="Calibri" w:hAnsi="Calibri" w:cs="Calibri"/>
              </w:rPr>
              <w:t>RAK</w:t>
            </w:r>
            <w:r w:rsidRPr="00B50403">
              <w:rPr>
                <w:rFonts w:ascii="Calibri" w:hAnsi="Calibri" w:cs="Calibri"/>
              </w:rPr>
              <w:t xml:space="preserve"> align their procurement practices with national and subnational climate targets. The </w:t>
            </w:r>
            <w:r>
              <w:rPr>
                <w:rFonts w:ascii="Calibri" w:hAnsi="Calibri" w:cs="Calibri"/>
              </w:rPr>
              <w:t>Policy Tool is</w:t>
            </w:r>
            <w:r w:rsidRPr="00B50403">
              <w:rPr>
                <w:rFonts w:ascii="Calibri" w:hAnsi="Calibri" w:cs="Calibri"/>
              </w:rPr>
              <w:t xml:space="preserve"> issued for mandatory adoption and explicitly state that the objectives and implementation of the policy tool are to support and contribute to the UAE Green Agenda 2030, the National Climate Change Plan 2017–2050, and Ras Al Khaimah’s own Energy Efficiency and Renewables Strategy 2040. </w:t>
            </w:r>
          </w:p>
          <w:p w14:paraId="55D76893" w14:textId="125686E4" w:rsidR="00B50403" w:rsidRDefault="00B50403" w:rsidP="00B50403">
            <w:pPr>
              <w:rPr>
                <w:rFonts w:ascii="Calibri" w:hAnsi="Calibri" w:cs="Calibri"/>
                <w:u w:val="single"/>
              </w:rPr>
            </w:pPr>
            <w:r w:rsidRPr="00B50403">
              <w:rPr>
                <w:rFonts w:ascii="Calibri" w:hAnsi="Calibri" w:cs="Calibri"/>
                <w:u w:val="single"/>
              </w:rPr>
              <w:t xml:space="preserve">Relevant </w:t>
            </w:r>
            <w:r>
              <w:rPr>
                <w:rFonts w:ascii="Calibri" w:hAnsi="Calibri" w:cs="Calibri"/>
                <w:u w:val="single"/>
              </w:rPr>
              <w:t>sections:</w:t>
            </w:r>
          </w:p>
          <w:p w14:paraId="1DEAD0E8" w14:textId="77777777" w:rsidR="00B50403" w:rsidRDefault="00B50403" w:rsidP="00B50403">
            <w:pPr>
              <w:rPr>
                <w:rFonts w:ascii="Calibri" w:hAnsi="Calibri" w:cs="Calibri"/>
                <w:u w:val="single"/>
              </w:rPr>
            </w:pPr>
          </w:p>
          <w:p w14:paraId="4B335324" w14:textId="4113A686" w:rsidR="00B50403" w:rsidRPr="00B50403" w:rsidRDefault="00B50403" w:rsidP="00B50403">
            <w:pPr>
              <w:pStyle w:val="ListParagraph"/>
              <w:numPr>
                <w:ilvl w:val="0"/>
                <w:numId w:val="49"/>
              </w:numPr>
              <w:rPr>
                <w:rFonts w:ascii="Calibri" w:hAnsi="Calibri" w:cs="Calibri"/>
              </w:rPr>
            </w:pPr>
            <w:r w:rsidRPr="00B50403">
              <w:rPr>
                <w:rFonts w:ascii="Calibri" w:hAnsi="Calibri" w:cs="Calibri"/>
              </w:rPr>
              <w:lastRenderedPageBreak/>
              <w:t xml:space="preserve">Division Two: Objectives (pp. 5–7): Outlines the environmental and climate objectives, including reduction of energy and water consumption, greenhouse gas emissions, and support for the UAE’s climate commitments. </w:t>
            </w:r>
          </w:p>
          <w:p w14:paraId="04345F77" w14:textId="294D426D" w:rsidR="00DF50B5" w:rsidRPr="00B50403" w:rsidRDefault="00B50403" w:rsidP="00B50403">
            <w:pPr>
              <w:pStyle w:val="ListParagraph"/>
              <w:numPr>
                <w:ilvl w:val="0"/>
                <w:numId w:val="49"/>
              </w:numPr>
              <w:rPr>
                <w:rFonts w:ascii="Calibri" w:hAnsi="Calibri" w:cs="Calibri"/>
              </w:rPr>
            </w:pPr>
            <w:r w:rsidRPr="00B50403">
              <w:rPr>
                <w:rFonts w:ascii="Calibri" w:hAnsi="Calibri" w:cs="Calibri"/>
              </w:rPr>
              <w:t>Division Three: Legal and Policy Context (pp. 8–14): Details alignment with the UAE Green Agenda 2030, National Climate Change Plan 2017–2050, and Ras Al Khaimah’s Energy Efficiency and Renewables Strategy 2040.</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13FA17AF"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C6B3E02"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3936BDBA"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4194ABC" w:rsidR="00DF50B5" w:rsidRPr="00610F28" w:rsidRDefault="00B50403"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5954D0AF"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25D6A0DE"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1132C3B2"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38A3364"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0015396F" w:rsidR="00DF50B5" w:rsidRPr="00610F28" w:rsidRDefault="00B50403" w:rsidP="00610F28">
            <w:pPr>
              <w:rPr>
                <w:rFonts w:ascii="Calibri" w:hAnsi="Calibri" w:cs="Calibri"/>
              </w:rPr>
            </w:pPr>
            <w:r w:rsidRPr="00B50403">
              <w:rPr>
                <w:rFonts w:ascii="Calibri" w:hAnsi="Calibri" w:cs="Calibri"/>
              </w:rPr>
              <w:t>The Policy Tool sets the reduction of greenhouse gas (</w:t>
            </w:r>
            <w:r w:rsidRPr="00B50403">
              <w:rPr>
                <w:rFonts w:ascii="Calibri" w:hAnsi="Calibri" w:cs="Calibri"/>
                <w:b/>
                <w:bCs/>
              </w:rPr>
              <w:t>GHG</w:t>
            </w:r>
            <w:r w:rsidRPr="00B50403">
              <w:rPr>
                <w:rFonts w:ascii="Calibri" w:hAnsi="Calibri" w:cs="Calibri"/>
              </w:rPr>
              <w:t>) emissions as a key objective of public procurement, requiring government entities to consider GHG impacts in their procurement decisions.</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49490089"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10A65DDE"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596BC372"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1635D64A" w:rsidR="00DF50B5" w:rsidRPr="00610F28" w:rsidRDefault="00B50403"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2A6AA19C"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57C6B783"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D7AEE42" w:rsidR="00DF50B5" w:rsidRPr="00610F28" w:rsidRDefault="00B50403" w:rsidP="00610F28">
            <w:pPr>
              <w:rPr>
                <w:rFonts w:ascii="Calibri" w:hAnsi="Calibri" w:cs="Calibri"/>
              </w:rPr>
            </w:pPr>
            <w:r>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528D516" w14:textId="77777777" w:rsidR="00B50403" w:rsidRPr="00B50403" w:rsidRDefault="00B50403" w:rsidP="00B50403">
            <w:pPr>
              <w:pStyle w:val="ListParagraph"/>
              <w:numPr>
                <w:ilvl w:val="0"/>
                <w:numId w:val="49"/>
              </w:numPr>
              <w:rPr>
                <w:rFonts w:ascii="Calibri" w:hAnsi="Calibri" w:cs="Calibri"/>
              </w:rPr>
            </w:pPr>
            <w:r w:rsidRPr="00B50403">
              <w:rPr>
                <w:rFonts w:ascii="Calibri" w:hAnsi="Calibri" w:cs="Calibri"/>
                <w:b/>
                <w:bCs/>
              </w:rPr>
              <w:t>3.20.1, 3.20.2:</w:t>
            </w:r>
            <w:r>
              <w:rPr>
                <w:rFonts w:ascii="Calibri" w:hAnsi="Calibri" w:cs="Calibri"/>
                <w:b/>
                <w:bCs/>
              </w:rPr>
              <w:t xml:space="preserve"> </w:t>
            </w:r>
          </w:p>
          <w:p w14:paraId="33F4FE40" w14:textId="77777777" w:rsidR="00B50403" w:rsidRDefault="00B50403" w:rsidP="00B50403">
            <w:pPr>
              <w:pStyle w:val="ListParagraph"/>
              <w:ind w:left="360"/>
              <w:rPr>
                <w:rFonts w:ascii="Calibri" w:hAnsi="Calibri" w:cs="Calibri"/>
                <w:b/>
                <w:bCs/>
              </w:rPr>
            </w:pPr>
          </w:p>
          <w:p w14:paraId="03F4CB63" w14:textId="4A838E40" w:rsidR="00B50403" w:rsidRDefault="00B50403" w:rsidP="00B50403">
            <w:pPr>
              <w:pStyle w:val="ListParagraph"/>
              <w:ind w:left="360"/>
              <w:rPr>
                <w:rFonts w:ascii="Calibri" w:hAnsi="Calibri" w:cs="Calibri"/>
              </w:rPr>
            </w:pPr>
            <w:r w:rsidRPr="00B50403">
              <w:rPr>
                <w:rFonts w:ascii="Calibri" w:hAnsi="Calibri" w:cs="Calibri"/>
              </w:rPr>
              <w:t>The Policy Tool provides that GPP</w:t>
            </w:r>
            <w:r>
              <w:rPr>
                <w:rFonts w:ascii="Calibri" w:hAnsi="Calibri" w:cs="Calibri"/>
                <w:b/>
                <w:bCs/>
              </w:rPr>
              <w:t xml:space="preserve"> </w:t>
            </w:r>
            <w:r w:rsidRPr="00B50403">
              <w:rPr>
                <w:rFonts w:ascii="Calibri" w:hAnsi="Calibri" w:cs="Calibri"/>
              </w:rPr>
              <w:t xml:space="preserve">should </w:t>
            </w:r>
            <w:r>
              <w:rPr>
                <w:rFonts w:ascii="Calibri" w:hAnsi="Calibri" w:cs="Calibri"/>
              </w:rPr>
              <w:t>be considered in the early stages of procurement, and the procurement of environmentally friendly products can be set as a key objective.</w:t>
            </w:r>
          </w:p>
          <w:p w14:paraId="53AA44D6" w14:textId="77777777" w:rsidR="00B50403" w:rsidRDefault="00B50403" w:rsidP="00B50403">
            <w:pPr>
              <w:pStyle w:val="ListParagraph"/>
              <w:ind w:left="360"/>
              <w:rPr>
                <w:rFonts w:ascii="Calibri" w:hAnsi="Calibri" w:cs="Calibri"/>
              </w:rPr>
            </w:pPr>
          </w:p>
          <w:p w14:paraId="4C8E71DE" w14:textId="34A7C998" w:rsidR="00B50403" w:rsidRDefault="00B50403" w:rsidP="00B50403">
            <w:pPr>
              <w:pStyle w:val="ListParagraph"/>
              <w:ind w:left="360"/>
              <w:rPr>
                <w:rFonts w:ascii="Calibri" w:hAnsi="Calibri" w:cs="Calibri"/>
              </w:rPr>
            </w:pPr>
            <w:r>
              <w:rPr>
                <w:rFonts w:ascii="Calibri" w:hAnsi="Calibri" w:cs="Calibri"/>
                <w:b/>
                <w:bCs/>
              </w:rPr>
              <w:t>Reference:</w:t>
            </w:r>
            <w:r>
              <w:rPr>
                <w:rFonts w:ascii="Calibri" w:hAnsi="Calibri" w:cs="Calibri"/>
              </w:rPr>
              <w:t xml:space="preserve"> </w:t>
            </w:r>
            <w:r w:rsidRPr="00B50403">
              <w:rPr>
                <w:rFonts w:ascii="Calibri" w:hAnsi="Calibri" w:cs="Calibri"/>
              </w:rPr>
              <w:t xml:space="preserve">Division Four: Implementation Framework, “Procurement Planning” (p. 15). </w:t>
            </w:r>
          </w:p>
          <w:p w14:paraId="1FEBE2FD" w14:textId="77777777" w:rsidR="00B50403" w:rsidRPr="00B50403" w:rsidRDefault="00B50403" w:rsidP="00B50403">
            <w:pPr>
              <w:pStyle w:val="ListParagraph"/>
              <w:ind w:left="360"/>
              <w:rPr>
                <w:rFonts w:ascii="Calibri" w:hAnsi="Calibri" w:cs="Calibri"/>
              </w:rPr>
            </w:pPr>
          </w:p>
          <w:p w14:paraId="702749D5" w14:textId="77777777" w:rsidR="00B50403" w:rsidRDefault="00B50403" w:rsidP="00B50403">
            <w:pPr>
              <w:pStyle w:val="ListParagraph"/>
              <w:numPr>
                <w:ilvl w:val="0"/>
                <w:numId w:val="49"/>
              </w:numPr>
              <w:rPr>
                <w:rFonts w:ascii="Calibri" w:hAnsi="Calibri" w:cs="Calibri"/>
              </w:rPr>
            </w:pPr>
            <w:r w:rsidRPr="00B50403">
              <w:rPr>
                <w:rFonts w:ascii="Calibri" w:hAnsi="Calibri" w:cs="Calibri"/>
                <w:b/>
                <w:bCs/>
              </w:rPr>
              <w:t>3.20.3</w:t>
            </w:r>
            <w:r>
              <w:rPr>
                <w:rFonts w:ascii="Calibri" w:hAnsi="Calibri" w:cs="Calibri"/>
                <w:b/>
                <w:bCs/>
              </w:rPr>
              <w:t>:</w:t>
            </w:r>
            <w:r>
              <w:rPr>
                <w:rFonts w:ascii="Calibri" w:hAnsi="Calibri" w:cs="Calibri"/>
              </w:rPr>
              <w:t xml:space="preserve"> </w:t>
            </w:r>
          </w:p>
          <w:p w14:paraId="29761416" w14:textId="77777777" w:rsidR="00B50403" w:rsidRDefault="00B50403" w:rsidP="00B50403">
            <w:pPr>
              <w:pStyle w:val="ListParagraph"/>
              <w:ind w:left="360"/>
              <w:rPr>
                <w:rFonts w:ascii="Calibri" w:hAnsi="Calibri" w:cs="Calibri"/>
              </w:rPr>
            </w:pPr>
          </w:p>
          <w:p w14:paraId="7872AB0B" w14:textId="77777777" w:rsidR="00B50403" w:rsidRDefault="00B50403" w:rsidP="00B50403">
            <w:pPr>
              <w:pStyle w:val="ListParagraph"/>
              <w:ind w:left="360"/>
              <w:rPr>
                <w:rFonts w:ascii="Calibri" w:hAnsi="Calibri" w:cs="Calibri"/>
              </w:rPr>
            </w:pPr>
            <w:r w:rsidRPr="00B50403">
              <w:rPr>
                <w:rFonts w:ascii="Calibri" w:hAnsi="Calibri" w:cs="Calibri"/>
              </w:rPr>
              <w:t>The Policy Tool allows entities to set targets for the share of their procurement budgets or contracts that must comply with the Policy Tool. For example, entities may set a target that at least half of all purchases shall adhere to the "Core Criteria" for products, services, and contracting works as set out in the Policy Tool.</w:t>
            </w:r>
          </w:p>
          <w:p w14:paraId="1ADE9597" w14:textId="31ED5215" w:rsidR="00B50403" w:rsidRDefault="00B50403" w:rsidP="00B50403">
            <w:pPr>
              <w:pStyle w:val="ListParagraph"/>
              <w:ind w:left="360"/>
              <w:rPr>
                <w:rFonts w:ascii="Calibri" w:hAnsi="Calibri" w:cs="Calibri"/>
              </w:rPr>
            </w:pPr>
            <w:r w:rsidRPr="00B50403">
              <w:rPr>
                <w:rFonts w:ascii="Calibri" w:hAnsi="Calibri" w:cs="Calibri"/>
              </w:rPr>
              <w:br/>
            </w:r>
            <w:r w:rsidRPr="00B50403">
              <w:rPr>
                <w:rFonts w:ascii="Calibri" w:hAnsi="Calibri" w:cs="Calibri"/>
                <w:b/>
                <w:bCs/>
              </w:rPr>
              <w:t>Reference:</w:t>
            </w:r>
            <w:r w:rsidRPr="00B50403">
              <w:rPr>
                <w:rFonts w:ascii="Calibri" w:hAnsi="Calibri" w:cs="Calibri"/>
              </w:rPr>
              <w:t xml:space="preserve"> Division Four: Implementation Framework, “Target Definition” (p. 19).</w:t>
            </w:r>
          </w:p>
          <w:p w14:paraId="6B8E647B" w14:textId="77777777" w:rsidR="00B50403" w:rsidRPr="00B50403" w:rsidRDefault="00B50403" w:rsidP="00B50403">
            <w:pPr>
              <w:pStyle w:val="ListParagraph"/>
              <w:ind w:left="360"/>
              <w:rPr>
                <w:rFonts w:ascii="Calibri" w:hAnsi="Calibri" w:cs="Calibri"/>
              </w:rPr>
            </w:pPr>
          </w:p>
          <w:p w14:paraId="4D048201" w14:textId="77777777" w:rsidR="00B50403" w:rsidRDefault="00B50403" w:rsidP="00B50403">
            <w:pPr>
              <w:pStyle w:val="ListParagraph"/>
              <w:numPr>
                <w:ilvl w:val="0"/>
                <w:numId w:val="49"/>
              </w:numPr>
              <w:rPr>
                <w:rFonts w:ascii="Calibri" w:hAnsi="Calibri" w:cs="Calibri"/>
              </w:rPr>
            </w:pPr>
            <w:r w:rsidRPr="00B50403">
              <w:rPr>
                <w:rFonts w:ascii="Calibri" w:hAnsi="Calibri" w:cs="Calibri"/>
                <w:b/>
                <w:bCs/>
              </w:rPr>
              <w:t>3.20.5</w:t>
            </w:r>
            <w:r>
              <w:rPr>
                <w:rFonts w:ascii="Calibri" w:hAnsi="Calibri" w:cs="Calibri"/>
                <w:b/>
                <w:bCs/>
              </w:rPr>
              <w:t>:</w:t>
            </w:r>
            <w:r>
              <w:rPr>
                <w:rFonts w:ascii="Calibri" w:hAnsi="Calibri" w:cs="Calibri"/>
              </w:rPr>
              <w:t xml:space="preserve"> </w:t>
            </w:r>
          </w:p>
          <w:p w14:paraId="27B64A0A" w14:textId="77777777" w:rsidR="00B50403" w:rsidRDefault="00B50403" w:rsidP="00B50403">
            <w:pPr>
              <w:pStyle w:val="ListParagraph"/>
              <w:ind w:left="360"/>
              <w:rPr>
                <w:rFonts w:ascii="Calibri" w:hAnsi="Calibri" w:cs="Calibri"/>
              </w:rPr>
            </w:pPr>
          </w:p>
          <w:p w14:paraId="04DB62CC" w14:textId="77777777" w:rsidR="00B50403" w:rsidRDefault="00B50403" w:rsidP="00B50403">
            <w:pPr>
              <w:pStyle w:val="ListParagraph"/>
              <w:ind w:left="360"/>
              <w:rPr>
                <w:rFonts w:ascii="Calibri" w:hAnsi="Calibri" w:cs="Calibri"/>
              </w:rPr>
            </w:pPr>
            <w:r w:rsidRPr="00B50403">
              <w:rPr>
                <w:rFonts w:ascii="Calibri" w:hAnsi="Calibri" w:cs="Calibri"/>
              </w:rPr>
              <w:t>The Policy Tool provides guidance on considering environmental impacts, including greenhouse gas (GHG) emissions, in procurement planning and in the development of technical specifications.</w:t>
            </w:r>
          </w:p>
          <w:p w14:paraId="3FC5C97B" w14:textId="2DDCA60F" w:rsidR="00B50403" w:rsidRPr="00B50403" w:rsidRDefault="00B50403" w:rsidP="00B50403">
            <w:pPr>
              <w:pStyle w:val="ListParagraph"/>
              <w:ind w:left="360"/>
              <w:rPr>
                <w:rFonts w:ascii="Calibri" w:hAnsi="Calibri" w:cs="Calibri"/>
              </w:rPr>
            </w:pPr>
            <w:r w:rsidRPr="00B50403">
              <w:rPr>
                <w:rFonts w:ascii="Calibri" w:hAnsi="Calibri" w:cs="Calibri"/>
              </w:rPr>
              <w:br/>
            </w:r>
            <w:r w:rsidRPr="00B50403">
              <w:rPr>
                <w:rFonts w:ascii="Calibri" w:hAnsi="Calibri" w:cs="Calibri"/>
                <w:b/>
                <w:bCs/>
              </w:rPr>
              <w:t>Reference:</w:t>
            </w:r>
            <w:r w:rsidRPr="00B50403">
              <w:rPr>
                <w:rFonts w:ascii="Calibri" w:hAnsi="Calibri" w:cs="Calibri"/>
              </w:rPr>
              <w:t xml:space="preserve"> Division Four: Implementation Framework, “Requirement Definition” (p. 16).</w:t>
            </w:r>
          </w:p>
          <w:p w14:paraId="5EF2F19A" w14:textId="77777777" w:rsidR="00B50403" w:rsidRDefault="00B50403" w:rsidP="00B50403">
            <w:pPr>
              <w:pStyle w:val="ListParagraph"/>
              <w:ind w:left="360"/>
              <w:rPr>
                <w:rFonts w:ascii="Calibri" w:hAnsi="Calibri" w:cs="Calibri"/>
              </w:rPr>
            </w:pPr>
          </w:p>
          <w:p w14:paraId="490D3AE9" w14:textId="77777777" w:rsidR="00B50403" w:rsidRDefault="00B50403" w:rsidP="00B50403">
            <w:pPr>
              <w:pStyle w:val="ListParagraph"/>
              <w:numPr>
                <w:ilvl w:val="0"/>
                <w:numId w:val="49"/>
              </w:numPr>
              <w:rPr>
                <w:rFonts w:ascii="Calibri" w:hAnsi="Calibri" w:cs="Calibri"/>
              </w:rPr>
            </w:pPr>
            <w:r w:rsidRPr="00B50403">
              <w:rPr>
                <w:rFonts w:ascii="Calibri" w:hAnsi="Calibri" w:cs="Calibri"/>
                <w:b/>
                <w:bCs/>
              </w:rPr>
              <w:t>3.20.6:</w:t>
            </w:r>
            <w:r w:rsidRPr="00B50403">
              <w:rPr>
                <w:rFonts w:ascii="Calibri" w:hAnsi="Calibri" w:cs="Calibri"/>
              </w:rPr>
              <w:t xml:space="preserve"> </w:t>
            </w:r>
          </w:p>
          <w:p w14:paraId="79D9ECCA" w14:textId="77777777" w:rsidR="00B50403" w:rsidRDefault="00B50403" w:rsidP="00B50403">
            <w:pPr>
              <w:pStyle w:val="ListParagraph"/>
              <w:ind w:left="360"/>
              <w:rPr>
                <w:rFonts w:ascii="Calibri" w:hAnsi="Calibri" w:cs="Calibri"/>
              </w:rPr>
            </w:pPr>
          </w:p>
          <w:p w14:paraId="7A8EAA20" w14:textId="1B99E459" w:rsidR="00B50403" w:rsidRPr="00B50403" w:rsidRDefault="00B50403" w:rsidP="00B50403">
            <w:pPr>
              <w:pStyle w:val="ListParagraph"/>
              <w:ind w:left="360"/>
              <w:rPr>
                <w:rFonts w:ascii="Calibri" w:hAnsi="Calibri" w:cs="Calibri"/>
              </w:rPr>
            </w:pPr>
            <w:r w:rsidRPr="00B50403">
              <w:rPr>
                <w:rFonts w:ascii="Calibri" w:hAnsi="Calibri" w:cs="Calibri"/>
              </w:rPr>
              <w:t>The Policy Tool requires entities to assess their procurement needs and identify opportunities for GPP initiatives, such as procuring fewer materials or procuring materials through alternative methods, as part of their annual planning process. This process may involve consulting with market actors in advance of publishing the formal call for tenders.</w:t>
            </w:r>
          </w:p>
          <w:p w14:paraId="771999B5" w14:textId="77777777" w:rsidR="00B50403" w:rsidRDefault="00B50403" w:rsidP="00B50403">
            <w:pPr>
              <w:pStyle w:val="ListParagraph"/>
              <w:ind w:left="360"/>
              <w:rPr>
                <w:rFonts w:ascii="Calibri" w:hAnsi="Calibri" w:cs="Calibri"/>
                <w:b/>
                <w:bCs/>
              </w:rPr>
            </w:pPr>
          </w:p>
          <w:p w14:paraId="24527C3F" w14:textId="51564ECB" w:rsidR="00B50403" w:rsidRDefault="00B50403" w:rsidP="00B50403">
            <w:pPr>
              <w:pStyle w:val="ListParagraph"/>
              <w:ind w:left="360"/>
              <w:rPr>
                <w:rFonts w:ascii="Calibri" w:hAnsi="Calibri" w:cs="Calibri"/>
              </w:rPr>
            </w:pPr>
            <w:r w:rsidRPr="00B50403">
              <w:rPr>
                <w:rFonts w:ascii="Calibri" w:hAnsi="Calibri" w:cs="Calibri"/>
                <w:b/>
                <w:bCs/>
              </w:rPr>
              <w:t>Reference:</w:t>
            </w:r>
            <w:r w:rsidRPr="00B50403">
              <w:rPr>
                <w:rFonts w:ascii="Calibri" w:hAnsi="Calibri" w:cs="Calibri"/>
              </w:rPr>
              <w:t xml:space="preserve"> Division Four: Implementation Framework, “Solicitation Process” (p. 16); Division Five: Scope of the GPP Guidelines, "GPP Initiatives" (p. 23).</w:t>
            </w:r>
          </w:p>
          <w:p w14:paraId="189AC05E" w14:textId="77777777" w:rsidR="00B50403" w:rsidRPr="00B50403" w:rsidRDefault="00B50403" w:rsidP="00B50403">
            <w:pPr>
              <w:rPr>
                <w:rFonts w:ascii="Calibri" w:hAnsi="Calibri" w:cs="Calibri"/>
              </w:rPr>
            </w:pPr>
          </w:p>
          <w:p w14:paraId="3FB4CACF" w14:textId="77777777" w:rsidR="00B50403" w:rsidRPr="00B50403" w:rsidRDefault="00B50403" w:rsidP="00B50403">
            <w:pPr>
              <w:pStyle w:val="ListParagraph"/>
              <w:numPr>
                <w:ilvl w:val="0"/>
                <w:numId w:val="49"/>
              </w:numPr>
              <w:rPr>
                <w:rFonts w:ascii="Calibri" w:hAnsi="Calibri" w:cs="Calibri"/>
              </w:rPr>
            </w:pPr>
            <w:r w:rsidRPr="00B50403">
              <w:rPr>
                <w:rFonts w:ascii="Calibri" w:hAnsi="Calibri" w:cs="Calibri"/>
                <w:b/>
                <w:bCs/>
              </w:rPr>
              <w:t>3.20.7:</w:t>
            </w:r>
          </w:p>
          <w:p w14:paraId="00B02421" w14:textId="02A86206" w:rsidR="00B50403" w:rsidRPr="00B50403" w:rsidRDefault="00B50403" w:rsidP="00B50403">
            <w:pPr>
              <w:pStyle w:val="ListParagraph"/>
              <w:ind w:left="360"/>
              <w:rPr>
                <w:rFonts w:ascii="Calibri" w:hAnsi="Calibri" w:cs="Calibri"/>
              </w:rPr>
            </w:pPr>
            <w:r w:rsidRPr="00B50403">
              <w:rPr>
                <w:rFonts w:ascii="Calibri" w:hAnsi="Calibri" w:cs="Calibri"/>
              </w:rPr>
              <w:br/>
              <w:t>The Policy Tool allows for other recommendations related to climate change mitigation at the procurement planning stage, such as GPP initiatives. These initiatives are aimed at either avoiding unnecessary purchases or improving operational aspects related to GPP processes or capacity building, such as training of purchasing professionals, going paperless, and eliminating single-use plastics.</w:t>
            </w:r>
          </w:p>
          <w:p w14:paraId="164D3A96" w14:textId="6F6C7F06" w:rsidR="00B50403" w:rsidRPr="00B50403" w:rsidRDefault="00B50403" w:rsidP="00B50403">
            <w:pPr>
              <w:pStyle w:val="ListParagraph"/>
              <w:ind w:left="360"/>
              <w:rPr>
                <w:rFonts w:ascii="Calibri" w:hAnsi="Calibri" w:cs="Calibri"/>
              </w:rPr>
            </w:pPr>
            <w:r w:rsidRPr="00B50403">
              <w:rPr>
                <w:rFonts w:ascii="Calibri" w:hAnsi="Calibri" w:cs="Calibri"/>
              </w:rPr>
              <w:br/>
            </w:r>
            <w:r w:rsidRPr="00B50403">
              <w:rPr>
                <w:rFonts w:ascii="Calibri" w:hAnsi="Calibri" w:cs="Calibri"/>
                <w:b/>
                <w:bCs/>
              </w:rPr>
              <w:t>Reference:</w:t>
            </w:r>
            <w:r w:rsidRPr="00B50403">
              <w:rPr>
                <w:rFonts w:ascii="Calibri" w:hAnsi="Calibri" w:cs="Calibri"/>
              </w:rPr>
              <w:t xml:space="preserve"> Division Five: Scope of the GPP Guidelines, “GPP Initiatives” (p. 23 and Annex D):</w:t>
            </w:r>
          </w:p>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10C532E9" w:rsidR="00DF50B5" w:rsidRPr="00610F28" w:rsidRDefault="00B50403"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lastRenderedPageBreak/>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783EC6FF" w:rsidR="00DF50B5" w:rsidRPr="00610F28" w:rsidRDefault="00B50403" w:rsidP="00610F28">
            <w:pPr>
              <w:rPr>
                <w:rFonts w:ascii="Calibri" w:hAnsi="Calibri" w:cs="Calibri"/>
              </w:rPr>
            </w:pPr>
            <w:r>
              <w:rPr>
                <w:rFonts w:ascii="Calibri" w:hAnsi="Calibri" w:cs="Calibri"/>
              </w:rPr>
              <w:t>X</w:t>
            </w: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1B6517E1" w:rsidR="00DF50B5" w:rsidRPr="00610F28" w:rsidRDefault="00B50403" w:rsidP="00610F28">
            <w:pPr>
              <w:rPr>
                <w:rFonts w:ascii="Calibri" w:hAnsi="Calibri" w:cs="Calibri"/>
              </w:rPr>
            </w:pPr>
            <w:r>
              <w:rPr>
                <w:rFonts w:ascii="Calibri" w:hAnsi="Calibri" w:cs="Calibri"/>
              </w:rPr>
              <w:t>X</w:t>
            </w: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771E8C80" w:rsidR="00DF50B5" w:rsidRPr="00610F28" w:rsidRDefault="00B50403" w:rsidP="00610F28">
            <w:pPr>
              <w:rPr>
                <w:rFonts w:ascii="Calibri" w:hAnsi="Calibri" w:cs="Calibri"/>
              </w:rPr>
            </w:pPr>
            <w:r>
              <w:rPr>
                <w:rFonts w:ascii="Calibri" w:hAnsi="Calibri" w:cs="Calibri"/>
              </w:rPr>
              <w:t>X</w:t>
            </w: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58778F38" w:rsidR="00B50403" w:rsidRPr="00B50403" w:rsidRDefault="00B50403" w:rsidP="00610F28">
            <w:pPr>
              <w:rPr>
                <w:rFonts w:ascii="Calibri" w:hAnsi="Calibri" w:cs="Calibri"/>
              </w:rPr>
            </w:pPr>
            <w:r w:rsidRPr="00B50403">
              <w:rPr>
                <w:rFonts w:ascii="Calibri" w:hAnsi="Calibri" w:cs="Calibri"/>
              </w:rPr>
              <w:t>“Scope 3 emissions, relevant or material” is selected because</w:t>
            </w:r>
            <w:r>
              <w:rPr>
                <w:rFonts w:ascii="Calibri" w:hAnsi="Calibri" w:cs="Calibri"/>
              </w:rPr>
              <w:t xml:space="preserve"> t</w:t>
            </w:r>
            <w:r w:rsidRPr="00B50403">
              <w:rPr>
                <w:rFonts w:ascii="Calibri" w:hAnsi="Calibri" w:cs="Calibri"/>
              </w:rPr>
              <w:t>he Policy Tool states that it addresses Scope 3 emissions “by reducing emissions and other environmental impacts occurring in product, service or contracting works value chains, both up-stream and down-stream.”</w:t>
            </w:r>
            <w:r w:rsidRPr="00B50403">
              <w:rPr>
                <w:rFonts w:ascii="Times New Roman" w:eastAsia="Times New Roman" w:hAnsi="Times New Roman" w:cs="Times New Roman"/>
                <w:kern w:val="0"/>
                <w:lang w:eastAsia="en-GB"/>
                <w14:ligatures w14:val="none"/>
              </w:rPr>
              <w:t xml:space="preserve"> There is no statement requiring “all” Scope 3 emissions or a “specified proportion” of Scope 3 emissions to be included.</w:t>
            </w:r>
            <w:r>
              <w:rPr>
                <w:rFonts w:ascii="Times New Roman" w:eastAsia="Times New Roman" w:hAnsi="Times New Roman" w:cs="Times New Roman"/>
                <w:kern w:val="0"/>
                <w:lang w:eastAsia="en-GB"/>
                <w14:ligatures w14:val="none"/>
              </w:rPr>
              <w:t xml:space="preserve"> </w:t>
            </w:r>
            <w:r w:rsidRPr="00B50403">
              <w:rPr>
                <w:rFonts w:ascii="Calibri" w:hAnsi="Calibri" w:cs="Calibri"/>
              </w:rPr>
              <w:t>This means the policy tool requires entities to consider Scope 3 emissions where they are relevant or material to the procurement activity.</w:t>
            </w: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6A00F8CB" w:rsidR="00DF50B5" w:rsidRPr="00610F28" w:rsidRDefault="00B50403"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lastRenderedPageBreak/>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DBE38D2" w:rsidR="00A56BE5" w:rsidRPr="00971C0E" w:rsidRDefault="00B5040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0596DC8F" w:rsidR="00A56BE5" w:rsidRPr="00971C0E" w:rsidRDefault="00B5040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7980EA1" w:rsidR="00A56BE5" w:rsidRPr="00971C0E" w:rsidRDefault="00B5040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49997325" w14:textId="77777777" w:rsidR="00B50403" w:rsidRDefault="00B50403" w:rsidP="00B50403">
            <w:pPr>
              <w:rPr>
                <w:rFonts w:ascii="Calibri" w:hAnsi="Calibri" w:cs="Calibri"/>
              </w:rPr>
            </w:pPr>
            <w:r w:rsidRPr="00B50403">
              <w:rPr>
                <w:rFonts w:ascii="Calibri" w:hAnsi="Calibri" w:cs="Calibri"/>
              </w:rPr>
              <w:t>The Policy Tool explains that considering life-cycle cost (</w:t>
            </w:r>
            <w:r w:rsidRPr="00B50403">
              <w:rPr>
                <w:rFonts w:ascii="Calibri" w:hAnsi="Calibri" w:cs="Calibri"/>
                <w:b/>
                <w:bCs/>
              </w:rPr>
              <w:t>LCC</w:t>
            </w:r>
            <w:r w:rsidRPr="00B50403">
              <w:rPr>
                <w:rFonts w:ascii="Calibri" w:hAnsi="Calibri" w:cs="Calibri"/>
              </w:rPr>
              <w:t>) is central to achieving its objectives. It states that LCC means looking beyond the initial purchase price to include all significant costs over the lifespan of a product or service, such as utility, maintenance, and disposal costs. This approach is expected to provide long-term economic and environmental benefits by minimising resource inefficiencies and improving environmental performance.</w:t>
            </w:r>
          </w:p>
          <w:p w14:paraId="31FD4AFC" w14:textId="70C44537" w:rsidR="00B50403" w:rsidRPr="00B50403" w:rsidRDefault="00B50403" w:rsidP="00B50403">
            <w:pPr>
              <w:rPr>
                <w:rFonts w:ascii="Calibri" w:hAnsi="Calibri" w:cs="Calibri"/>
              </w:rPr>
            </w:pPr>
            <w:r>
              <w:rPr>
                <w:rFonts w:ascii="Calibri" w:hAnsi="Calibri" w:cs="Calibri"/>
              </w:rPr>
              <w:t xml:space="preserve">The Policy Tool </w:t>
            </w:r>
            <w:r w:rsidRPr="00B50403">
              <w:rPr>
                <w:rFonts w:ascii="Calibri" w:hAnsi="Calibri" w:cs="Calibri"/>
              </w:rPr>
              <w:t>further clarifies that LCC analysis is especially encouraged for high-value items or projects. To make this practical for everyday procurement, the Policy Tool provides predefined criteria for common categories of products and services, which are designed with LCC in mind. This allows procuring entities to incorporate life cycle considerations into their purchasing decisions without having to conduct a full LCC analysis for every procurement.</w:t>
            </w:r>
          </w:p>
          <w:p w14:paraId="0B11500B" w14:textId="0027B3EC" w:rsidR="00D94180" w:rsidRPr="00B50403" w:rsidRDefault="00B50403" w:rsidP="00B50403">
            <w:pPr>
              <w:rPr>
                <w:rStyle w:val="normaltextrun"/>
                <w:rFonts w:ascii="Calibri" w:hAnsi="Calibri" w:cs="Calibri"/>
              </w:rPr>
            </w:pPr>
            <w:r w:rsidRPr="00B50403">
              <w:rPr>
                <w:rFonts w:ascii="Calibri" w:hAnsi="Calibri" w:cs="Calibri"/>
                <w:b/>
                <w:bCs/>
              </w:rPr>
              <w:t>Reference:</w:t>
            </w:r>
            <w:r w:rsidRPr="00B50403">
              <w:rPr>
                <w:rFonts w:ascii="Calibri" w:hAnsi="Calibri" w:cs="Calibri"/>
              </w:rPr>
              <w:t xml:space="preserve"> Division Two: Objectives (p. 6); Division Four: Implementation Framework, Requirement Definition (p. 16).</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lastRenderedPageBreak/>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34A045AB" w:rsidR="008A4685" w:rsidRPr="00610F28" w:rsidRDefault="00B5040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00CB5C4" w:rsidR="008A4685" w:rsidRPr="00610F28" w:rsidRDefault="00B5040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32A60535" w:rsidR="008A4685" w:rsidRPr="00610F28" w:rsidRDefault="00B5040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26229666" w:rsidR="008A4685" w:rsidRPr="00610F28" w:rsidRDefault="00B5040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053F6408" w:rsidR="008A4685" w:rsidRPr="00610F28" w:rsidRDefault="00B5040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17F0A039" w:rsidR="008A4685" w:rsidRPr="00610F28" w:rsidRDefault="00B5040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9DF37AA" w14:textId="39320FC1" w:rsidR="00B50403" w:rsidRP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3.31.2</w:t>
            </w:r>
            <w:r>
              <w:rPr>
                <w:rFonts w:ascii="Calibri" w:hAnsi="Calibri" w:cs="Calibri"/>
                <w:b/>
                <w:bCs/>
                <w:color w:val="000000"/>
                <w:shd w:val="clear" w:color="auto" w:fill="FFFFFF"/>
              </w:rPr>
              <w:t>:</w:t>
            </w:r>
          </w:p>
          <w:p w14:paraId="3947CDF9" w14:textId="77777777" w:rsidR="00B50403" w:rsidRPr="00B50403" w:rsidRDefault="00B50403" w:rsidP="00B50403">
            <w:pPr>
              <w:pStyle w:val="ListParagraph"/>
              <w:ind w:left="360"/>
              <w:rPr>
                <w:rFonts w:ascii="Calibri" w:hAnsi="Calibri" w:cs="Calibri"/>
                <w:color w:val="000000"/>
                <w:shd w:val="clear" w:color="auto" w:fill="FFFFFF"/>
              </w:rPr>
            </w:pPr>
          </w:p>
          <w:p w14:paraId="0D58F418" w14:textId="77777777" w:rsidR="00B50403" w:rsidRDefault="00B50403" w:rsidP="00B50403">
            <w:pPr>
              <w:pStyle w:val="ListParagraph"/>
              <w:ind w:left="360"/>
              <w:rPr>
                <w:rFonts w:ascii="Calibri" w:hAnsi="Calibri" w:cs="Calibri"/>
                <w:b/>
                <w:bCs/>
                <w:color w:val="000000"/>
                <w:shd w:val="clear" w:color="auto" w:fill="FFFFFF"/>
              </w:rPr>
            </w:pPr>
            <w:r w:rsidRPr="00B50403">
              <w:rPr>
                <w:rFonts w:ascii="Calibri" w:hAnsi="Calibri" w:cs="Calibri"/>
                <w:color w:val="000000"/>
                <w:shd w:val="clear" w:color="auto" w:fill="FFFFFF"/>
              </w:rPr>
              <w:t>The Policy Tool allows procuring entities to include climate-related criteria in the qualification and selection of suppliers, such as requiring suppliers to demonstrate environmental certifications or sustainable practices.</w:t>
            </w:r>
            <w:r w:rsidRPr="00B50403">
              <w:rPr>
                <w:rFonts w:ascii="Calibri" w:hAnsi="Calibri" w:cs="Calibri"/>
                <w:color w:val="000000"/>
                <w:shd w:val="clear" w:color="auto" w:fill="FFFFFF"/>
              </w:rPr>
              <w:br/>
            </w:r>
          </w:p>
          <w:p w14:paraId="39FB5ECA" w14:textId="29AD9116"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Division Four: Implementation Framework, “Evaluation” (p. 17); Annex C: GPP Criteria for Tender Evaluation.</w:t>
            </w:r>
          </w:p>
          <w:p w14:paraId="5E66AEE2" w14:textId="77777777" w:rsidR="00B50403" w:rsidRPr="00B50403" w:rsidRDefault="00B50403" w:rsidP="00B50403">
            <w:pPr>
              <w:pStyle w:val="ListParagraph"/>
              <w:ind w:left="360"/>
              <w:rPr>
                <w:rFonts w:ascii="Calibri" w:hAnsi="Calibri" w:cs="Calibri"/>
                <w:color w:val="000000"/>
                <w:shd w:val="clear" w:color="auto" w:fill="FFFFFF"/>
              </w:rPr>
            </w:pPr>
          </w:p>
          <w:p w14:paraId="23090D73" w14:textId="7BA9D205" w:rsidR="00B50403" w:rsidRPr="00B50403" w:rsidRDefault="00B50403" w:rsidP="00B50403">
            <w:pPr>
              <w:pStyle w:val="ListParagraph"/>
              <w:numPr>
                <w:ilvl w:val="0"/>
                <w:numId w:val="49"/>
              </w:numPr>
              <w:rPr>
                <w:rFonts w:ascii="Calibri" w:hAnsi="Calibri" w:cs="Calibri"/>
                <w:b/>
                <w:bCs/>
                <w:color w:val="000000"/>
                <w:shd w:val="clear" w:color="auto" w:fill="FFFFFF"/>
              </w:rPr>
            </w:pPr>
            <w:r w:rsidRPr="00B50403">
              <w:rPr>
                <w:rFonts w:ascii="Calibri" w:hAnsi="Calibri" w:cs="Calibri"/>
                <w:b/>
                <w:bCs/>
                <w:color w:val="000000"/>
                <w:shd w:val="clear" w:color="auto" w:fill="FFFFFF"/>
              </w:rPr>
              <w:t>3.31.3:</w:t>
            </w:r>
          </w:p>
          <w:p w14:paraId="1F53DA7F" w14:textId="77777777" w:rsidR="00B50403" w:rsidRDefault="00B50403" w:rsidP="00B50403">
            <w:pPr>
              <w:pStyle w:val="ListParagraph"/>
              <w:ind w:left="360"/>
              <w:rPr>
                <w:rFonts w:ascii="Calibri" w:hAnsi="Calibri" w:cs="Calibri"/>
                <w:color w:val="000000"/>
                <w:shd w:val="clear" w:color="auto" w:fill="FFFFFF"/>
              </w:rPr>
            </w:pPr>
          </w:p>
          <w:p w14:paraId="29D55A50" w14:textId="78F67C3C" w:rsidR="00B50403" w:rsidRP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t>The Policy Tool recommends that environmental and climate considerations, including life-cycle cost, be factored into value-for-money assessments during tender evaluation.</w:t>
            </w:r>
            <w:r w:rsidRPr="00B50403">
              <w:rPr>
                <w:rFonts w:ascii="Calibri" w:hAnsi="Calibri" w:cs="Calibri"/>
                <w:color w:val="000000"/>
                <w:shd w:val="clear" w:color="auto" w:fill="FFFFFF"/>
              </w:rPr>
              <w:br/>
            </w:r>
          </w:p>
          <w:p w14:paraId="0539EDE2" w14:textId="244FF0CB"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Division Four: Implementation Framework, “Evaluation” (p. 17); Division Two: Objectives (p. 6).</w:t>
            </w:r>
          </w:p>
          <w:p w14:paraId="2318A666" w14:textId="77777777" w:rsidR="00B50403" w:rsidRPr="00B50403" w:rsidRDefault="00B50403" w:rsidP="00B50403">
            <w:pPr>
              <w:pStyle w:val="ListParagraph"/>
              <w:ind w:left="360"/>
              <w:rPr>
                <w:rFonts w:ascii="Calibri" w:hAnsi="Calibri" w:cs="Calibri"/>
                <w:color w:val="000000"/>
                <w:shd w:val="clear" w:color="auto" w:fill="FFFFFF"/>
              </w:rPr>
            </w:pPr>
          </w:p>
          <w:p w14:paraId="48B81C27" w14:textId="7666603D" w:rsidR="00B50403" w:rsidRPr="00B50403" w:rsidRDefault="00B50403" w:rsidP="00B50403">
            <w:pPr>
              <w:pStyle w:val="ListParagraph"/>
              <w:numPr>
                <w:ilvl w:val="0"/>
                <w:numId w:val="49"/>
              </w:numPr>
              <w:rPr>
                <w:rFonts w:ascii="Calibri" w:hAnsi="Calibri" w:cs="Calibri"/>
                <w:b/>
                <w:bCs/>
                <w:color w:val="000000"/>
                <w:shd w:val="clear" w:color="auto" w:fill="FFFFFF"/>
              </w:rPr>
            </w:pPr>
            <w:r w:rsidRPr="00B50403">
              <w:rPr>
                <w:rFonts w:ascii="Calibri" w:hAnsi="Calibri" w:cs="Calibri"/>
                <w:b/>
                <w:bCs/>
                <w:color w:val="000000"/>
                <w:shd w:val="clear" w:color="auto" w:fill="FFFFFF"/>
              </w:rPr>
              <w:t>3.31.4:</w:t>
            </w:r>
          </w:p>
          <w:p w14:paraId="67044036" w14:textId="77777777" w:rsidR="00B50403" w:rsidRDefault="00B50403" w:rsidP="00B50403">
            <w:pPr>
              <w:pStyle w:val="ListParagraph"/>
              <w:ind w:left="360"/>
              <w:rPr>
                <w:rFonts w:ascii="Calibri" w:hAnsi="Calibri" w:cs="Calibri"/>
                <w:color w:val="000000"/>
                <w:shd w:val="clear" w:color="auto" w:fill="FFFFFF"/>
              </w:rPr>
            </w:pPr>
          </w:p>
          <w:p w14:paraId="6BF9D9A8" w14:textId="792983F4" w:rsidR="00B50403" w:rsidRP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t>The Policy Tool provides technical specifications for products and services, such as minimum energy efficiency standards and environmental criteria, to be included in tenders.</w:t>
            </w:r>
            <w:r w:rsidRPr="00B50403">
              <w:rPr>
                <w:rFonts w:ascii="Calibri" w:hAnsi="Calibri" w:cs="Calibri"/>
                <w:color w:val="000000"/>
                <w:shd w:val="clear" w:color="auto" w:fill="FFFFFF"/>
              </w:rPr>
              <w:br/>
            </w:r>
            <w:r w:rsidRPr="00B50403">
              <w:rPr>
                <w:rFonts w:ascii="Calibri" w:hAnsi="Calibri" w:cs="Calibri"/>
                <w:b/>
                <w:bCs/>
                <w:color w:val="000000"/>
                <w:shd w:val="clear" w:color="auto" w:fill="FFFFFF"/>
              </w:rPr>
              <w:lastRenderedPageBreak/>
              <w:t>Reference:</w:t>
            </w:r>
            <w:r w:rsidRPr="00B50403">
              <w:rPr>
                <w:rFonts w:ascii="Calibri" w:hAnsi="Calibri" w:cs="Calibri"/>
                <w:color w:val="000000"/>
                <w:shd w:val="clear" w:color="auto" w:fill="FFFFFF"/>
              </w:rPr>
              <w:t xml:space="preserve"> Division Four: Implementation Framework, “Requirement Definition” (p. 16); Annexes A &amp; B: GPP Criteria for Products, Services, and Contracting Works.</w:t>
            </w:r>
          </w:p>
          <w:p w14:paraId="24AA6FFE" w14:textId="77777777" w:rsidR="004557A1" w:rsidRDefault="004557A1" w:rsidP="00B50403">
            <w:pPr>
              <w:pStyle w:val="ListParagraph"/>
              <w:ind w:left="360"/>
              <w:rPr>
                <w:rStyle w:val="normaltextrun"/>
                <w:rFonts w:ascii="Calibri" w:hAnsi="Calibri" w:cs="Calibri"/>
                <w:color w:val="000000"/>
                <w:shd w:val="clear" w:color="auto" w:fill="FFFFFF"/>
              </w:rPr>
            </w:pPr>
          </w:p>
          <w:p w14:paraId="6A27BB1A" w14:textId="77777777" w:rsidR="00B50403" w:rsidRP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3.31.5</w:t>
            </w:r>
            <w:r>
              <w:rPr>
                <w:rFonts w:ascii="Calibri" w:hAnsi="Calibri" w:cs="Calibri"/>
                <w:b/>
                <w:bCs/>
                <w:color w:val="000000"/>
                <w:shd w:val="clear" w:color="auto" w:fill="FFFFFF"/>
              </w:rPr>
              <w:t>:</w:t>
            </w:r>
          </w:p>
          <w:p w14:paraId="23938C7B" w14:textId="77777777" w:rsidR="00B50403" w:rsidRDefault="00B50403" w:rsidP="00B50403">
            <w:pPr>
              <w:pStyle w:val="ListParagraph"/>
              <w:ind w:left="360"/>
              <w:rPr>
                <w:rFonts w:ascii="Calibri" w:hAnsi="Calibri" w:cs="Calibri"/>
                <w:b/>
                <w:bCs/>
                <w:color w:val="000000"/>
                <w:shd w:val="clear" w:color="auto" w:fill="FFFFFF"/>
              </w:rPr>
            </w:pPr>
          </w:p>
          <w:p w14:paraId="71B2D8C9"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t>The Policy Tool allows for the use of climate-related criteria in contract award decisions, including point systems that reward suppliers for green practices and local value creation.</w:t>
            </w:r>
          </w:p>
          <w:p w14:paraId="0C80BCBD" w14:textId="55FD4E54"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C: GPP Criteria for Tender Evaluation.</w:t>
            </w:r>
          </w:p>
          <w:p w14:paraId="54323A6D" w14:textId="77777777" w:rsidR="00B50403" w:rsidRPr="00B50403" w:rsidRDefault="00B50403" w:rsidP="00B50403">
            <w:pPr>
              <w:rPr>
                <w:rFonts w:ascii="Calibri" w:hAnsi="Calibri" w:cs="Calibri"/>
                <w:color w:val="000000"/>
                <w:shd w:val="clear" w:color="auto" w:fill="FFFFFF"/>
              </w:rPr>
            </w:pPr>
          </w:p>
          <w:p w14:paraId="24AC181B" w14:textId="4ABA8C39" w:rsidR="00B50403" w:rsidRP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3.31.6</w:t>
            </w:r>
            <w:r>
              <w:rPr>
                <w:rFonts w:ascii="Calibri" w:hAnsi="Calibri" w:cs="Calibri"/>
                <w:b/>
                <w:bCs/>
                <w:color w:val="000000"/>
                <w:shd w:val="clear" w:color="auto" w:fill="FFFFFF"/>
              </w:rPr>
              <w:t>:</w:t>
            </w:r>
          </w:p>
          <w:p w14:paraId="2D91BADD" w14:textId="77777777" w:rsidR="00B50403" w:rsidRDefault="00B50403" w:rsidP="00B50403">
            <w:pPr>
              <w:pStyle w:val="ListParagraph"/>
              <w:ind w:left="360"/>
              <w:rPr>
                <w:rFonts w:ascii="Calibri" w:hAnsi="Calibri" w:cs="Calibri"/>
                <w:b/>
                <w:bCs/>
                <w:color w:val="000000"/>
                <w:shd w:val="clear" w:color="auto" w:fill="FFFFFF"/>
              </w:rPr>
            </w:pPr>
          </w:p>
          <w:p w14:paraId="77D834EF"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t>The Policy Tool allows for additional recommendations at the tendering stage, such as GPP Initiatives (e.g., “go paperless,” “single-use plastic no more”) and encourages continuous improvement and awareness.</w:t>
            </w:r>
          </w:p>
          <w:p w14:paraId="1FEBD8A5" w14:textId="07075B16" w:rsidR="00B50403" w:rsidRPr="00B50403" w:rsidRDefault="00B50403" w:rsidP="00B50403">
            <w:pPr>
              <w:pStyle w:val="ListParagraph"/>
              <w:ind w:left="360"/>
              <w:rPr>
                <w:rStyle w:val="normaltextrun"/>
                <w:rFonts w:ascii="Calibri" w:hAnsi="Calibri" w:cs="Calibri"/>
                <w:color w:val="000000"/>
                <w:shd w:val="clear" w:color="auto" w:fill="FFFFFF"/>
              </w:rPr>
            </w:pPr>
            <w:r w:rsidRPr="00B50403">
              <w:rPr>
                <w:rFonts w:ascii="Calibri" w:hAnsi="Calibri" w:cs="Calibri"/>
                <w:color w:val="000000"/>
                <w:shd w:val="clear" w:color="auto" w:fill="FFFFFF"/>
              </w:rPr>
              <w:br/>
            </w: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Division Five: Scope of the GPP Guidelines, “GPP Initiatives” (p. 23 and Annex D).</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FC3F576"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1BACBBD6"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4CAEBFE8"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670505D7"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46BDEBC9" w:rsidR="008A4685" w:rsidRPr="00CF2E7C" w:rsidRDefault="00B50403"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lastRenderedPageBreak/>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F0B6052"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727B35FA"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7BD2B253"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5D1019C1"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A514EE2"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1C4C3E59"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49A2FE11"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643A053D"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0E7EF5F"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5A53FFFC"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7CD6CCCD"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577BC4A4"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A028049" w14:textId="77777777" w:rsidR="00B50403" w:rsidRPr="00B50403" w:rsidRDefault="00B50403" w:rsidP="00B50403">
            <w:pPr>
              <w:pStyle w:val="ListParagraph"/>
              <w:numPr>
                <w:ilvl w:val="0"/>
                <w:numId w:val="49"/>
              </w:numPr>
              <w:rPr>
                <w:rFonts w:ascii="Calibri" w:hAnsi="Calibri" w:cs="Calibri"/>
                <w:color w:val="000000"/>
                <w:sz w:val="22"/>
                <w:szCs w:val="22"/>
                <w:shd w:val="clear" w:color="auto" w:fill="FFFFFF"/>
              </w:rPr>
            </w:pPr>
            <w:r w:rsidRPr="00B50403">
              <w:rPr>
                <w:rFonts w:ascii="Calibri" w:hAnsi="Calibri" w:cs="Calibri"/>
                <w:b/>
                <w:bCs/>
                <w:color w:val="000000"/>
                <w:sz w:val="22"/>
                <w:szCs w:val="22"/>
                <w:shd w:val="clear" w:color="auto" w:fill="FFFFFF"/>
              </w:rPr>
              <w:t>3.35.1</w:t>
            </w:r>
            <w:r>
              <w:rPr>
                <w:rFonts w:ascii="Calibri" w:hAnsi="Calibri" w:cs="Calibri"/>
                <w:b/>
                <w:bCs/>
                <w:color w:val="000000"/>
                <w:sz w:val="22"/>
                <w:szCs w:val="22"/>
                <w:shd w:val="clear" w:color="auto" w:fill="FFFFFF"/>
              </w:rPr>
              <w:t>:</w:t>
            </w:r>
          </w:p>
          <w:p w14:paraId="6FCCB61C" w14:textId="77777777" w:rsidR="00B50403" w:rsidRDefault="00B50403" w:rsidP="00B50403">
            <w:pPr>
              <w:pStyle w:val="ListParagraph"/>
              <w:ind w:left="360"/>
              <w:rPr>
                <w:rFonts w:ascii="Calibri" w:hAnsi="Calibri" w:cs="Calibri"/>
                <w:b/>
                <w:bCs/>
                <w:color w:val="000000"/>
                <w:sz w:val="22"/>
                <w:szCs w:val="22"/>
                <w:shd w:val="clear" w:color="auto" w:fill="FFFFFF"/>
              </w:rPr>
            </w:pPr>
          </w:p>
          <w:p w14:paraId="32FDC666" w14:textId="6B6AFA50" w:rsidR="00B50403" w:rsidRDefault="00B50403" w:rsidP="00B50403">
            <w:pPr>
              <w:pStyle w:val="ListParagraph"/>
              <w:ind w:left="360"/>
              <w:rPr>
                <w:rFonts w:ascii="Calibri" w:hAnsi="Calibri" w:cs="Calibri"/>
                <w:color w:val="000000"/>
                <w:sz w:val="22"/>
                <w:szCs w:val="22"/>
                <w:shd w:val="clear" w:color="auto" w:fill="FFFFFF"/>
              </w:rPr>
            </w:pPr>
            <w:r w:rsidRPr="00B50403">
              <w:rPr>
                <w:rFonts w:ascii="Calibri" w:hAnsi="Calibri" w:cs="Calibri"/>
                <w:color w:val="000000"/>
                <w:sz w:val="22"/>
                <w:szCs w:val="22"/>
                <w:shd w:val="clear" w:color="auto" w:fill="FFFFFF"/>
              </w:rPr>
              <w:t xml:space="preserve">The Policy Tool allows procuring entities to consider suppliers’ experience with climate-relevant </w:t>
            </w:r>
            <w:r>
              <w:rPr>
                <w:rFonts w:ascii="Calibri" w:hAnsi="Calibri" w:cs="Calibri"/>
                <w:color w:val="000000"/>
                <w:sz w:val="22"/>
                <w:szCs w:val="22"/>
                <w:shd w:val="clear" w:color="auto" w:fill="FFFFFF"/>
              </w:rPr>
              <w:t>aspects</w:t>
            </w:r>
            <w:r w:rsidRPr="00B50403">
              <w:rPr>
                <w:rFonts w:ascii="Calibri" w:hAnsi="Calibri" w:cs="Calibri"/>
                <w:color w:val="000000"/>
                <w:sz w:val="22"/>
                <w:szCs w:val="22"/>
                <w:shd w:val="clear" w:color="auto" w:fill="FFFFFF"/>
              </w:rPr>
              <w:t xml:space="preserve"> as part of the tender evaluation process</w:t>
            </w:r>
            <w:r>
              <w:rPr>
                <w:rFonts w:ascii="Calibri" w:hAnsi="Calibri" w:cs="Calibri"/>
                <w:color w:val="000000"/>
                <w:sz w:val="22"/>
                <w:szCs w:val="22"/>
                <w:shd w:val="clear" w:color="auto" w:fill="FFFFFF"/>
              </w:rPr>
              <w:t>, such as suppliers' e</w:t>
            </w:r>
            <w:r w:rsidRPr="00B50403">
              <w:rPr>
                <w:rFonts w:ascii="Calibri" w:hAnsi="Calibri" w:cs="Calibri"/>
                <w:color w:val="000000"/>
                <w:sz w:val="22"/>
                <w:szCs w:val="22"/>
                <w:shd w:val="clear" w:color="auto" w:fill="FFFFFF"/>
              </w:rPr>
              <w:t>fforts in reducing energy and water consumption</w:t>
            </w:r>
            <w:r>
              <w:rPr>
                <w:rFonts w:ascii="Calibri" w:hAnsi="Calibri" w:cs="Calibri"/>
                <w:color w:val="000000"/>
                <w:sz w:val="22"/>
                <w:szCs w:val="22"/>
                <w:shd w:val="clear" w:color="auto" w:fill="FFFFFF"/>
              </w:rPr>
              <w:t xml:space="preserve"> or GHG emissions. </w:t>
            </w:r>
          </w:p>
          <w:p w14:paraId="3227EEF0" w14:textId="4F936C05" w:rsidR="00B50403" w:rsidRDefault="00B50403" w:rsidP="00B50403">
            <w:pPr>
              <w:pStyle w:val="ListParagraph"/>
              <w:ind w:left="360"/>
              <w:rPr>
                <w:rFonts w:ascii="Calibri" w:hAnsi="Calibri" w:cs="Calibri"/>
                <w:color w:val="000000"/>
                <w:sz w:val="22"/>
                <w:szCs w:val="22"/>
                <w:shd w:val="clear" w:color="auto" w:fill="FFFFFF"/>
              </w:rPr>
            </w:pPr>
            <w:r w:rsidRPr="00B50403">
              <w:rPr>
                <w:rFonts w:ascii="Calibri" w:hAnsi="Calibri" w:cs="Calibri"/>
                <w:color w:val="000000"/>
                <w:sz w:val="22"/>
                <w:szCs w:val="22"/>
                <w:shd w:val="clear" w:color="auto" w:fill="FFFFFF"/>
              </w:rPr>
              <w:br/>
            </w:r>
            <w:r w:rsidRPr="00B50403">
              <w:rPr>
                <w:rFonts w:ascii="Calibri" w:hAnsi="Calibri" w:cs="Calibri"/>
                <w:b/>
                <w:bCs/>
                <w:color w:val="000000"/>
                <w:sz w:val="22"/>
                <w:szCs w:val="22"/>
                <w:shd w:val="clear" w:color="auto" w:fill="FFFFFF"/>
              </w:rPr>
              <w:t>Reference:</w:t>
            </w:r>
            <w:r w:rsidRPr="00B50403">
              <w:rPr>
                <w:rFonts w:ascii="Calibri" w:hAnsi="Calibri" w:cs="Calibri"/>
                <w:color w:val="000000"/>
                <w:sz w:val="22"/>
                <w:szCs w:val="22"/>
                <w:shd w:val="clear" w:color="auto" w:fill="FFFFFF"/>
              </w:rPr>
              <w:t xml:space="preserve"> Annex C: GPP Criteria for Tender Evaluation (Core and Comprehensive Criteria)</w:t>
            </w:r>
            <w:r>
              <w:rPr>
                <w:rFonts w:ascii="Calibri" w:hAnsi="Calibri" w:cs="Calibri"/>
                <w:color w:val="000000"/>
                <w:sz w:val="22"/>
                <w:szCs w:val="22"/>
                <w:shd w:val="clear" w:color="auto" w:fill="FFFFFF"/>
              </w:rPr>
              <w:t xml:space="preserve">, </w:t>
            </w:r>
            <w:r w:rsidRPr="00B50403">
              <w:rPr>
                <w:rFonts w:ascii="Calibri" w:hAnsi="Calibri" w:cs="Calibri"/>
                <w:color w:val="000000"/>
                <w:sz w:val="22"/>
                <w:szCs w:val="22"/>
                <w:shd w:val="clear" w:color="auto" w:fill="FFFFFF"/>
              </w:rPr>
              <w:t>pp. 44–45.</w:t>
            </w:r>
          </w:p>
          <w:p w14:paraId="5CA0F92A" w14:textId="77777777" w:rsidR="00B50403" w:rsidRPr="00B50403" w:rsidRDefault="00B50403" w:rsidP="00B50403">
            <w:pPr>
              <w:pStyle w:val="ListParagraph"/>
              <w:ind w:left="360"/>
              <w:rPr>
                <w:rFonts w:ascii="Calibri" w:hAnsi="Calibri" w:cs="Calibri"/>
                <w:color w:val="000000"/>
                <w:sz w:val="22"/>
                <w:szCs w:val="22"/>
                <w:shd w:val="clear" w:color="auto" w:fill="FFFFFF"/>
              </w:rPr>
            </w:pPr>
          </w:p>
          <w:p w14:paraId="7856992F" w14:textId="5020D82D" w:rsidR="00B50403" w:rsidRDefault="00B50403" w:rsidP="00B50403">
            <w:pPr>
              <w:pStyle w:val="ListParagraph"/>
              <w:numPr>
                <w:ilvl w:val="0"/>
                <w:numId w:val="49"/>
              </w:numPr>
              <w:rPr>
                <w:rFonts w:ascii="Calibri" w:hAnsi="Calibri" w:cs="Calibri"/>
                <w:color w:val="000000"/>
                <w:sz w:val="22"/>
                <w:szCs w:val="22"/>
                <w:shd w:val="clear" w:color="auto" w:fill="FFFFFF"/>
              </w:rPr>
            </w:pPr>
            <w:r w:rsidRPr="00B50403">
              <w:rPr>
                <w:rFonts w:ascii="Calibri" w:hAnsi="Calibri" w:cs="Calibri"/>
                <w:b/>
                <w:bCs/>
                <w:color w:val="000000"/>
                <w:sz w:val="22"/>
                <w:szCs w:val="22"/>
                <w:shd w:val="clear" w:color="auto" w:fill="FFFFFF"/>
              </w:rPr>
              <w:t>3.35.6:</w:t>
            </w:r>
            <w:r w:rsidRPr="00B50403">
              <w:rPr>
                <w:rFonts w:ascii="Calibri" w:hAnsi="Calibri" w:cs="Calibri"/>
                <w:color w:val="000000"/>
                <w:sz w:val="22"/>
                <w:szCs w:val="22"/>
                <w:shd w:val="clear" w:color="auto" w:fill="FFFFFF"/>
              </w:rPr>
              <w:br/>
            </w:r>
          </w:p>
          <w:p w14:paraId="7D36B2A3" w14:textId="77777777" w:rsidR="00B50403" w:rsidRDefault="00B50403" w:rsidP="00B50403">
            <w:pPr>
              <w:pStyle w:val="ListParagraph"/>
              <w:ind w:left="360"/>
              <w:rPr>
                <w:rFonts w:ascii="Calibri" w:hAnsi="Calibri" w:cs="Calibri"/>
                <w:b/>
                <w:bCs/>
                <w:color w:val="000000"/>
                <w:sz w:val="22"/>
                <w:szCs w:val="22"/>
                <w:shd w:val="clear" w:color="auto" w:fill="FFFFFF"/>
              </w:rPr>
            </w:pPr>
            <w:r w:rsidRPr="00B50403">
              <w:rPr>
                <w:rFonts w:ascii="Calibri" w:hAnsi="Calibri" w:cs="Calibri"/>
                <w:color w:val="000000"/>
                <w:sz w:val="22"/>
                <w:szCs w:val="22"/>
                <w:shd w:val="clear" w:color="auto" w:fill="FFFFFF"/>
              </w:rPr>
              <w:t>The Policy Tool allows for the consideration of corporate certifications such as ISO 14001 (environmental management systems) or eco-labels as part of the supplier evaluation process.</w:t>
            </w:r>
            <w:r w:rsidRPr="00B50403">
              <w:rPr>
                <w:rFonts w:ascii="Calibri" w:hAnsi="Calibri" w:cs="Calibri"/>
                <w:color w:val="000000"/>
                <w:sz w:val="22"/>
                <w:szCs w:val="22"/>
                <w:shd w:val="clear" w:color="auto" w:fill="FFFFFF"/>
              </w:rPr>
              <w:br/>
            </w:r>
          </w:p>
          <w:p w14:paraId="76F1F481" w14:textId="35B0CA77" w:rsidR="00B50403" w:rsidRPr="00B50403" w:rsidRDefault="00B50403" w:rsidP="00B50403">
            <w:pPr>
              <w:pStyle w:val="ListParagraph"/>
              <w:ind w:left="360"/>
              <w:rPr>
                <w:rFonts w:ascii="Calibri" w:hAnsi="Calibri" w:cs="Calibri"/>
                <w:color w:val="000000"/>
                <w:sz w:val="22"/>
                <w:szCs w:val="22"/>
                <w:shd w:val="clear" w:color="auto" w:fill="FFFFFF"/>
              </w:rPr>
            </w:pPr>
            <w:r w:rsidRPr="00B50403">
              <w:rPr>
                <w:rFonts w:ascii="Calibri" w:hAnsi="Calibri" w:cs="Calibri"/>
                <w:b/>
                <w:bCs/>
                <w:color w:val="000000"/>
                <w:sz w:val="22"/>
                <w:szCs w:val="22"/>
                <w:shd w:val="clear" w:color="auto" w:fill="FFFFFF"/>
              </w:rPr>
              <w:t>Reference:</w:t>
            </w:r>
            <w:r w:rsidRPr="00B50403">
              <w:rPr>
                <w:rFonts w:ascii="Calibri" w:hAnsi="Calibri" w:cs="Calibri"/>
                <w:color w:val="000000"/>
                <w:sz w:val="22"/>
                <w:szCs w:val="22"/>
                <w:shd w:val="clear" w:color="auto" w:fill="FFFFFF"/>
              </w:rPr>
              <w:t xml:space="preserve"> Annex C: GPP Criteria for Tender Evaluation</w:t>
            </w:r>
            <w:r>
              <w:rPr>
                <w:rFonts w:ascii="Calibri" w:hAnsi="Calibri" w:cs="Calibri"/>
                <w:color w:val="000000"/>
                <w:sz w:val="22"/>
                <w:szCs w:val="22"/>
                <w:shd w:val="clear" w:color="auto" w:fill="FFFFFF"/>
              </w:rPr>
              <w:t>,</w:t>
            </w:r>
            <w:r w:rsidRPr="00B50403">
              <w:rPr>
                <w:rFonts w:ascii="Calibri" w:hAnsi="Calibri" w:cs="Calibri"/>
                <w:color w:val="000000"/>
                <w:sz w:val="22"/>
                <w:szCs w:val="22"/>
                <w:shd w:val="clear" w:color="auto" w:fill="FFFFFF"/>
              </w:rPr>
              <w:t xml:space="preserve"> pp. 44–45; Annex A: GPP Criteria for Products (e.g., FSC, PEFC, EU Ecolabel), pp. 26–39.</w:t>
            </w:r>
          </w:p>
          <w:p w14:paraId="54496A55" w14:textId="77777777" w:rsidR="00B50403" w:rsidRDefault="00B50403" w:rsidP="00B50403">
            <w:pPr>
              <w:pStyle w:val="ListParagraph"/>
              <w:ind w:left="360"/>
              <w:rPr>
                <w:rFonts w:ascii="Calibri" w:hAnsi="Calibri" w:cs="Calibri"/>
                <w:b/>
                <w:bCs/>
                <w:color w:val="000000"/>
                <w:sz w:val="22"/>
                <w:szCs w:val="22"/>
                <w:shd w:val="clear" w:color="auto" w:fill="FFFFFF"/>
              </w:rPr>
            </w:pPr>
          </w:p>
          <w:p w14:paraId="760DA813" w14:textId="77777777" w:rsidR="00B50403" w:rsidRPr="00B50403" w:rsidRDefault="00B50403" w:rsidP="00B50403">
            <w:pPr>
              <w:pStyle w:val="ListParagraph"/>
              <w:numPr>
                <w:ilvl w:val="0"/>
                <w:numId w:val="49"/>
              </w:numPr>
              <w:rPr>
                <w:rFonts w:ascii="Calibri" w:hAnsi="Calibri" w:cs="Calibri"/>
                <w:color w:val="000000"/>
                <w:sz w:val="22"/>
                <w:szCs w:val="22"/>
                <w:shd w:val="clear" w:color="auto" w:fill="FFFFFF"/>
              </w:rPr>
            </w:pPr>
            <w:r w:rsidRPr="00B50403">
              <w:rPr>
                <w:rFonts w:ascii="Calibri" w:hAnsi="Calibri" w:cs="Calibri"/>
                <w:b/>
                <w:bCs/>
                <w:color w:val="000000"/>
                <w:sz w:val="22"/>
                <w:szCs w:val="22"/>
                <w:shd w:val="clear" w:color="auto" w:fill="FFFFFF"/>
              </w:rPr>
              <w:t>3.35.8:</w:t>
            </w:r>
          </w:p>
          <w:p w14:paraId="68595416" w14:textId="77777777" w:rsidR="00B50403" w:rsidRDefault="00B50403" w:rsidP="00B50403">
            <w:pPr>
              <w:pStyle w:val="ListParagraph"/>
              <w:ind w:left="360"/>
              <w:rPr>
                <w:rFonts w:ascii="Calibri" w:hAnsi="Calibri" w:cs="Calibri"/>
                <w:color w:val="000000"/>
                <w:sz w:val="22"/>
                <w:szCs w:val="22"/>
                <w:shd w:val="clear" w:color="auto" w:fill="FFFFFF"/>
              </w:rPr>
            </w:pPr>
            <w:r w:rsidRPr="00B50403">
              <w:rPr>
                <w:rFonts w:ascii="Calibri" w:hAnsi="Calibri" w:cs="Calibri"/>
                <w:color w:val="000000"/>
                <w:sz w:val="22"/>
                <w:szCs w:val="22"/>
                <w:shd w:val="clear" w:color="auto" w:fill="FFFFFF"/>
              </w:rPr>
              <w:br/>
              <w:t>The Policy Tool allows for the recognition of suppliers with certified environmental management or supply chain management systems, awarding extra points in tender evaluations for such certifications.</w:t>
            </w:r>
          </w:p>
          <w:p w14:paraId="18A99674" w14:textId="63DA0E2B" w:rsidR="00CD5934" w:rsidRPr="00B50403" w:rsidRDefault="00B50403" w:rsidP="00B50403">
            <w:pPr>
              <w:pStyle w:val="ListParagraph"/>
              <w:ind w:left="360"/>
              <w:rPr>
                <w:rStyle w:val="normaltextrun"/>
                <w:rFonts w:ascii="Calibri" w:hAnsi="Calibri" w:cs="Calibri"/>
                <w:color w:val="000000"/>
                <w:sz w:val="22"/>
                <w:szCs w:val="22"/>
                <w:shd w:val="clear" w:color="auto" w:fill="FFFFFF"/>
              </w:rPr>
            </w:pPr>
            <w:r w:rsidRPr="00B50403">
              <w:rPr>
                <w:rFonts w:ascii="Calibri" w:hAnsi="Calibri" w:cs="Calibri"/>
                <w:color w:val="000000"/>
                <w:sz w:val="22"/>
                <w:szCs w:val="22"/>
                <w:shd w:val="clear" w:color="auto" w:fill="FFFFFF"/>
              </w:rPr>
              <w:br/>
            </w:r>
            <w:r w:rsidRPr="00B50403">
              <w:rPr>
                <w:rFonts w:ascii="Calibri" w:hAnsi="Calibri" w:cs="Calibri"/>
                <w:b/>
                <w:bCs/>
                <w:color w:val="000000"/>
                <w:sz w:val="22"/>
                <w:szCs w:val="22"/>
                <w:shd w:val="clear" w:color="auto" w:fill="FFFFFF"/>
              </w:rPr>
              <w:t>Reference:</w:t>
            </w:r>
            <w:r w:rsidRPr="00B50403">
              <w:rPr>
                <w:rFonts w:ascii="Calibri" w:hAnsi="Calibri" w:cs="Calibri"/>
                <w:color w:val="000000"/>
                <w:sz w:val="22"/>
                <w:szCs w:val="22"/>
                <w:shd w:val="clear" w:color="auto" w:fill="FFFFFF"/>
              </w:rPr>
              <w:t xml:space="preserve"> Annex C: GPP Criteria for Tender Evaluation (points for ISO 14001, ISO 20400, ESG rating), pp. 44–45; Annex A: GPP Criteria for Products, pp. 26–39.</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3F5E825B"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27BBA4C4"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2D29AD06"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32DF932D"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461DF093"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lastRenderedPageBreak/>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05A31F55"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5DF5B0E1"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358FA000"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61F9E7EE"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B437DB0"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3995D0"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353456"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4F25B71C" w:rsidR="008A4685" w:rsidRPr="00CF2E7C" w:rsidRDefault="00B5040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4DFB4FD" w14:textId="77777777" w:rsidR="00B50403" w:rsidRP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3.37.1</w:t>
            </w:r>
            <w:r>
              <w:rPr>
                <w:rFonts w:ascii="Calibri" w:hAnsi="Calibri" w:cs="Calibri"/>
                <w:b/>
                <w:bCs/>
                <w:color w:val="000000"/>
                <w:shd w:val="clear" w:color="auto" w:fill="FFFFFF"/>
              </w:rPr>
              <w:t>:</w:t>
            </w:r>
          </w:p>
          <w:p w14:paraId="212273BD"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t>The Policy Tool allows and recommends technical specifications for energy efficiency in products and services (e.g., minimum ESMA star ratings for appliances, lighting power density for buildings).</w:t>
            </w:r>
          </w:p>
          <w:p w14:paraId="72B8179C" w14:textId="252F42CD"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A: GPP Criteria for Products (pp. 26–39); Annex B: GPP Criteria for Services and Contracting Works (pp. 40–43).</w:t>
            </w:r>
          </w:p>
          <w:p w14:paraId="5884C01D" w14:textId="77777777" w:rsidR="00B50403" w:rsidRPr="00B50403" w:rsidRDefault="00B50403" w:rsidP="00B50403">
            <w:pPr>
              <w:rPr>
                <w:rFonts w:ascii="Calibri" w:hAnsi="Calibri" w:cs="Calibri"/>
                <w:color w:val="000000"/>
                <w:shd w:val="clear" w:color="auto" w:fill="FFFFFF"/>
              </w:rPr>
            </w:pPr>
          </w:p>
          <w:p w14:paraId="4883A2B2" w14:textId="77777777" w:rsidR="00B50403" w:rsidRP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3.37.2</w:t>
            </w:r>
            <w:r>
              <w:rPr>
                <w:rFonts w:ascii="Calibri" w:hAnsi="Calibri" w:cs="Calibri"/>
                <w:b/>
                <w:bCs/>
                <w:color w:val="000000"/>
                <w:shd w:val="clear" w:color="auto" w:fill="FFFFFF"/>
              </w:rPr>
              <w:t>:</w:t>
            </w:r>
          </w:p>
          <w:p w14:paraId="553F64E9" w14:textId="77777777" w:rsidR="00B50403" w:rsidRDefault="00B50403" w:rsidP="00B50403">
            <w:pPr>
              <w:pStyle w:val="ListParagraph"/>
              <w:ind w:left="360"/>
              <w:rPr>
                <w:rFonts w:ascii="Calibri" w:hAnsi="Calibri" w:cs="Calibri"/>
                <w:b/>
                <w:bCs/>
                <w:color w:val="000000"/>
                <w:shd w:val="clear" w:color="auto" w:fill="FFFFFF"/>
              </w:rPr>
            </w:pPr>
          </w:p>
          <w:p w14:paraId="6A871A94" w14:textId="77777777" w:rsidR="00B50403" w:rsidRDefault="00B50403" w:rsidP="00B50403">
            <w:pPr>
              <w:pStyle w:val="ListParagraph"/>
              <w:ind w:left="360"/>
              <w:rPr>
                <w:rFonts w:ascii="Calibri" w:hAnsi="Calibri" w:cs="Calibri"/>
                <w:b/>
                <w:bCs/>
                <w:color w:val="000000"/>
                <w:shd w:val="clear" w:color="auto" w:fill="FFFFFF"/>
              </w:rPr>
            </w:pPr>
            <w:r w:rsidRPr="00B50403">
              <w:rPr>
                <w:rFonts w:ascii="Calibri" w:hAnsi="Calibri" w:cs="Calibri"/>
                <w:color w:val="000000"/>
                <w:shd w:val="clear" w:color="auto" w:fill="FFFFFF"/>
              </w:rPr>
              <w:t>The Policy Tool allows for specifications that reduce product carbon emissions, such as fuel economy standards for vehicles and refrigerant requirements for appliances.</w:t>
            </w:r>
            <w:r w:rsidRPr="00B50403">
              <w:rPr>
                <w:rFonts w:ascii="Calibri" w:hAnsi="Calibri" w:cs="Calibri"/>
                <w:color w:val="000000"/>
                <w:shd w:val="clear" w:color="auto" w:fill="FFFFFF"/>
              </w:rPr>
              <w:br/>
            </w:r>
          </w:p>
          <w:p w14:paraId="0579BFE9"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A: GPP Criteria for Products (e.g., Light Vehicles, Air Conditioners, Household Appliances). </w:t>
            </w:r>
          </w:p>
          <w:p w14:paraId="584DB7CB" w14:textId="77777777" w:rsidR="00B50403" w:rsidRDefault="00B50403" w:rsidP="00B50403">
            <w:pPr>
              <w:pStyle w:val="ListParagraph"/>
              <w:ind w:left="360"/>
              <w:rPr>
                <w:rFonts w:ascii="Calibri" w:hAnsi="Calibri" w:cs="Calibri"/>
                <w:color w:val="000000"/>
                <w:shd w:val="clear" w:color="auto" w:fill="FFFFFF"/>
              </w:rPr>
            </w:pPr>
          </w:p>
          <w:p w14:paraId="5D9B4D18" w14:textId="77777777" w:rsidR="00B50403" w:rsidRP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3.37.5 Percentage of energy from renewable sources:</w:t>
            </w:r>
          </w:p>
          <w:p w14:paraId="5198883C"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t>The Policy Tool allows for specifications that encourage or require a percentage of energy from renewable sources, especially in building and solar project criteria.</w:t>
            </w:r>
          </w:p>
          <w:p w14:paraId="02750EC3" w14:textId="4AC062BB" w:rsidR="00B50403" w:rsidRP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lastRenderedPageBreak/>
              <w:br/>
            </w: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B: GPP Criteria for Services and Contracting Works (e.g., Solar Projects, Building Design and Construction).</w:t>
            </w:r>
          </w:p>
          <w:p w14:paraId="009E8A42" w14:textId="77777777" w:rsidR="00B50403" w:rsidRDefault="00B50403" w:rsidP="00B50403">
            <w:pPr>
              <w:rPr>
                <w:rFonts w:ascii="Calibri" w:hAnsi="Calibri" w:cs="Calibri"/>
                <w:color w:val="000000"/>
                <w:shd w:val="clear" w:color="auto" w:fill="FFFFFF"/>
              </w:rPr>
            </w:pPr>
          </w:p>
          <w:p w14:paraId="25E21916" w14:textId="20012430" w:rsidR="00B50403" w:rsidRP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3.37.6</w:t>
            </w:r>
            <w:r>
              <w:rPr>
                <w:rFonts w:ascii="Calibri" w:hAnsi="Calibri" w:cs="Calibri"/>
                <w:b/>
                <w:bCs/>
                <w:color w:val="000000"/>
                <w:shd w:val="clear" w:color="auto" w:fill="FFFFFF"/>
              </w:rPr>
              <w:t>:</w:t>
            </w:r>
          </w:p>
          <w:p w14:paraId="236C7E21"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t>The Policy Tool allows for specifications on recycled content, such as requiring recycled fibres in paper or recycled materials in construction.</w:t>
            </w:r>
          </w:p>
          <w:p w14:paraId="5FC410C6" w14:textId="6DE91F8E"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A: GPP Criteria for Products (e.g., Paper, Furniture); Annex B: GPP Criteria for Services and Contracting Works.</w:t>
            </w:r>
          </w:p>
          <w:p w14:paraId="230DDD7D" w14:textId="77777777" w:rsidR="00B50403" w:rsidRPr="00B50403" w:rsidRDefault="00B50403" w:rsidP="00B50403">
            <w:pPr>
              <w:pStyle w:val="ListParagraph"/>
              <w:ind w:left="360"/>
              <w:rPr>
                <w:rFonts w:ascii="Calibri" w:hAnsi="Calibri" w:cs="Calibri"/>
                <w:color w:val="000000"/>
                <w:shd w:val="clear" w:color="auto" w:fill="FFFFFF"/>
              </w:rPr>
            </w:pPr>
          </w:p>
          <w:p w14:paraId="19A608E1" w14:textId="77777777" w:rsidR="00B50403" w:rsidRP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3.37.</w:t>
            </w:r>
            <w:r>
              <w:rPr>
                <w:rFonts w:ascii="Calibri" w:hAnsi="Calibri" w:cs="Calibri"/>
                <w:b/>
                <w:bCs/>
                <w:color w:val="000000"/>
                <w:shd w:val="clear" w:color="auto" w:fill="FFFFFF"/>
              </w:rPr>
              <w:t>7:</w:t>
            </w:r>
          </w:p>
          <w:p w14:paraId="0EDE8DBB"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t>The Policy Tool allows for specifications such as the use of electric vehicles, solar panels, and other low/zero-carbon technologies.</w:t>
            </w:r>
          </w:p>
          <w:p w14:paraId="7FC47623" w14:textId="11AF5863"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A: GPP Criteria for Products (Light Vehicles, Solar Projects).</w:t>
            </w:r>
          </w:p>
          <w:p w14:paraId="1EC2D37E" w14:textId="77777777" w:rsidR="00B50403" w:rsidRPr="00B50403" w:rsidRDefault="00B50403" w:rsidP="00B50403">
            <w:pPr>
              <w:pStyle w:val="ListParagraph"/>
              <w:ind w:left="360"/>
              <w:rPr>
                <w:rFonts w:ascii="Calibri" w:hAnsi="Calibri" w:cs="Calibri"/>
                <w:color w:val="000000"/>
                <w:shd w:val="clear" w:color="auto" w:fill="FFFFFF"/>
              </w:rPr>
            </w:pPr>
          </w:p>
          <w:p w14:paraId="3E894354" w14:textId="77777777" w:rsid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3.37.8</w:t>
            </w:r>
            <w:r>
              <w:rPr>
                <w:rFonts w:ascii="Calibri" w:hAnsi="Calibri" w:cs="Calibri"/>
                <w:b/>
                <w:bCs/>
                <w:color w:val="000000"/>
                <w:shd w:val="clear" w:color="auto" w:fill="FFFFFF"/>
              </w:rPr>
              <w:t>:</w:t>
            </w:r>
            <w:r w:rsidRPr="00B50403">
              <w:rPr>
                <w:rFonts w:ascii="Calibri" w:hAnsi="Calibri" w:cs="Calibri"/>
                <w:color w:val="000000"/>
                <w:shd w:val="clear" w:color="auto" w:fill="FFFFFF"/>
              </w:rPr>
              <w:br/>
            </w:r>
          </w:p>
          <w:p w14:paraId="2745FEF5"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t>The Policy Tool allows for specifications related to sustainable production methods, such as certified timber or organic ingredients.</w:t>
            </w:r>
          </w:p>
          <w:p w14:paraId="3F4BF10F" w14:textId="37AF9CAE"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A: GPP Criteria for Products (Furniture, Cleaning Products).</w:t>
            </w:r>
          </w:p>
          <w:p w14:paraId="0362AE68" w14:textId="77777777" w:rsidR="00B50403" w:rsidRDefault="00B50403" w:rsidP="00B50403">
            <w:pPr>
              <w:pStyle w:val="ListParagraph"/>
              <w:ind w:left="360"/>
              <w:rPr>
                <w:rFonts w:ascii="Calibri" w:hAnsi="Calibri" w:cs="Calibri"/>
                <w:color w:val="000000"/>
                <w:shd w:val="clear" w:color="auto" w:fill="FFFFFF"/>
              </w:rPr>
            </w:pPr>
          </w:p>
          <w:p w14:paraId="7B520216" w14:textId="4E4F233F" w:rsid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3.37.9:</w:t>
            </w:r>
            <w:r w:rsidRPr="00B50403">
              <w:rPr>
                <w:rFonts w:ascii="Calibri" w:hAnsi="Calibri" w:cs="Calibri"/>
                <w:color w:val="000000"/>
                <w:shd w:val="clear" w:color="auto" w:fill="FFFFFF"/>
              </w:rPr>
              <w:br/>
            </w:r>
          </w:p>
          <w:p w14:paraId="372E4909" w14:textId="77777777" w:rsidR="00B50403" w:rsidRDefault="00B50403" w:rsidP="00B50403">
            <w:pPr>
              <w:pStyle w:val="ListParagraph"/>
              <w:ind w:left="360"/>
              <w:rPr>
                <w:rFonts w:ascii="Calibri" w:hAnsi="Calibri" w:cs="Calibri"/>
                <w:b/>
                <w:bCs/>
                <w:color w:val="000000"/>
                <w:shd w:val="clear" w:color="auto" w:fill="FFFFFF"/>
              </w:rPr>
            </w:pPr>
            <w:r w:rsidRPr="00B50403">
              <w:rPr>
                <w:rFonts w:ascii="Calibri" w:hAnsi="Calibri" w:cs="Calibri"/>
                <w:color w:val="000000"/>
                <w:shd w:val="clear" w:color="auto" w:fill="FFFFFF"/>
              </w:rPr>
              <w:t>The Policy Tool allows for specifications on end-of-life management, such as minimum warranty periods, recyclability, and disposal requirements.</w:t>
            </w:r>
            <w:r w:rsidRPr="00B50403">
              <w:rPr>
                <w:rFonts w:ascii="Calibri" w:hAnsi="Calibri" w:cs="Calibri"/>
                <w:color w:val="000000"/>
                <w:shd w:val="clear" w:color="auto" w:fill="FFFFFF"/>
              </w:rPr>
              <w:br/>
            </w:r>
          </w:p>
          <w:p w14:paraId="476A9A0E"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A: GPP Criteria for Products (Furniture, Carpeting).</w:t>
            </w:r>
          </w:p>
          <w:p w14:paraId="5647EEBD" w14:textId="77777777" w:rsidR="00B50403" w:rsidRDefault="00B50403" w:rsidP="00B50403">
            <w:pPr>
              <w:pStyle w:val="ListParagraph"/>
              <w:ind w:left="360"/>
              <w:rPr>
                <w:rFonts w:ascii="Calibri" w:hAnsi="Calibri" w:cs="Calibri"/>
                <w:b/>
                <w:bCs/>
                <w:color w:val="000000"/>
                <w:shd w:val="clear" w:color="auto" w:fill="FFFFFF"/>
              </w:rPr>
            </w:pPr>
          </w:p>
          <w:p w14:paraId="40A31F69" w14:textId="77777777" w:rsidR="00B50403" w:rsidRPr="00B50403" w:rsidRDefault="00B50403" w:rsidP="00B50403">
            <w:pPr>
              <w:pStyle w:val="ListParagraph"/>
              <w:numPr>
                <w:ilvl w:val="0"/>
                <w:numId w:val="49"/>
              </w:numPr>
              <w:rPr>
                <w:rFonts w:ascii="Calibri" w:hAnsi="Calibri" w:cs="Calibri"/>
                <w:color w:val="000000"/>
                <w:shd w:val="clear" w:color="auto" w:fill="FFFFFF"/>
              </w:rPr>
            </w:pPr>
            <w:r w:rsidRPr="00B50403">
              <w:rPr>
                <w:rFonts w:ascii="Calibri" w:hAnsi="Calibri" w:cs="Calibri"/>
                <w:b/>
                <w:bCs/>
                <w:color w:val="000000"/>
                <w:shd w:val="clear" w:color="auto" w:fill="FFFFFF"/>
              </w:rPr>
              <w:t>3.37.11</w:t>
            </w:r>
            <w:r>
              <w:rPr>
                <w:rFonts w:ascii="Calibri" w:hAnsi="Calibri" w:cs="Calibri"/>
                <w:b/>
                <w:bCs/>
                <w:color w:val="000000"/>
                <w:shd w:val="clear" w:color="auto" w:fill="FFFFFF"/>
              </w:rPr>
              <w:t>:</w:t>
            </w:r>
          </w:p>
          <w:p w14:paraId="7EC08EB6"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t xml:space="preserve"> </w:t>
            </w:r>
            <w:r w:rsidRPr="00B50403">
              <w:rPr>
                <w:rFonts w:ascii="Calibri" w:hAnsi="Calibri" w:cs="Calibri"/>
                <w:color w:val="000000"/>
                <w:shd w:val="clear" w:color="auto" w:fill="FFFFFF"/>
              </w:rPr>
              <w:br/>
              <w:t>The Policy Tool allows for specifications requiring third-party certifications or ecolabels, such as FSC, PEFC, EU Ecolabel, Green Seal, ISO 14001.</w:t>
            </w:r>
          </w:p>
          <w:p w14:paraId="749F0458" w14:textId="4CF8C594" w:rsidR="00B50403" w:rsidRP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br/>
            </w: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A: GPP Criteria for Products (various categories).</w:t>
            </w:r>
          </w:p>
          <w:p w14:paraId="74ADD39D" w14:textId="77777777" w:rsidR="00B50403" w:rsidRDefault="00B50403" w:rsidP="00B50403">
            <w:pPr>
              <w:rPr>
                <w:rFonts w:ascii="Calibri" w:hAnsi="Calibri" w:cs="Calibri"/>
                <w:color w:val="000000"/>
                <w:shd w:val="clear" w:color="auto" w:fill="FFFFFF"/>
              </w:rPr>
            </w:pPr>
          </w:p>
          <w:p w14:paraId="7F57A449" w14:textId="77777777" w:rsidR="00B50403" w:rsidRDefault="00B50403" w:rsidP="00B50403">
            <w:pPr>
              <w:pStyle w:val="ListParagraph"/>
              <w:numPr>
                <w:ilvl w:val="0"/>
                <w:numId w:val="49"/>
              </w:numPr>
              <w:rPr>
                <w:rFonts w:ascii="Calibri" w:hAnsi="Calibri" w:cs="Calibri"/>
                <w:b/>
                <w:bCs/>
                <w:color w:val="000000"/>
                <w:shd w:val="clear" w:color="auto" w:fill="FFFFFF"/>
              </w:rPr>
            </w:pPr>
            <w:r w:rsidRPr="00B50403">
              <w:rPr>
                <w:rFonts w:ascii="Calibri" w:hAnsi="Calibri" w:cs="Calibri"/>
                <w:b/>
                <w:bCs/>
                <w:color w:val="000000"/>
                <w:shd w:val="clear" w:color="auto" w:fill="FFFFFF"/>
              </w:rPr>
              <w:t>3.37.12</w:t>
            </w:r>
            <w:r>
              <w:rPr>
                <w:rFonts w:ascii="Calibri" w:hAnsi="Calibri" w:cs="Calibri"/>
                <w:b/>
                <w:bCs/>
                <w:color w:val="000000"/>
                <w:shd w:val="clear" w:color="auto" w:fill="FFFFFF"/>
              </w:rPr>
              <w:t>:</w:t>
            </w:r>
          </w:p>
          <w:p w14:paraId="0C7B3DAA" w14:textId="77777777" w:rsidR="00B50403" w:rsidRDefault="00B50403" w:rsidP="00B50403">
            <w:pPr>
              <w:pStyle w:val="ListParagraph"/>
              <w:ind w:left="360"/>
              <w:rPr>
                <w:rFonts w:ascii="Calibri" w:hAnsi="Calibri" w:cs="Calibri"/>
                <w:b/>
                <w:bCs/>
                <w:color w:val="000000"/>
                <w:shd w:val="clear" w:color="auto" w:fill="FFFFFF"/>
              </w:rPr>
            </w:pPr>
          </w:p>
          <w:p w14:paraId="517D04A7" w14:textId="77777777" w:rsidR="00B50403" w:rsidRDefault="00B50403" w:rsidP="00B50403">
            <w:pPr>
              <w:pStyle w:val="ListParagraph"/>
              <w:ind w:left="360"/>
              <w:rPr>
                <w:rFonts w:ascii="Calibri" w:hAnsi="Calibri" w:cs="Calibri"/>
                <w:color w:val="000000"/>
                <w:shd w:val="clear" w:color="auto" w:fill="FFFFFF"/>
              </w:rPr>
            </w:pPr>
            <w:r w:rsidRPr="00B50403">
              <w:rPr>
                <w:rFonts w:ascii="Calibri" w:hAnsi="Calibri" w:cs="Calibri"/>
                <w:color w:val="000000"/>
                <w:shd w:val="clear" w:color="auto" w:fill="FFFFFF"/>
              </w:rPr>
              <w:t>The Policy Tool allows for specifications that consider supply chain sustainability, such as local sourcing requirements and sustainable procurement certifications.</w:t>
            </w:r>
          </w:p>
          <w:p w14:paraId="5B72630F" w14:textId="77777777" w:rsidR="00B50403" w:rsidRDefault="00B50403" w:rsidP="00B50403">
            <w:pPr>
              <w:pStyle w:val="ListParagraph"/>
              <w:ind w:left="360"/>
              <w:rPr>
                <w:rFonts w:ascii="Calibri" w:hAnsi="Calibri" w:cs="Calibri"/>
                <w:color w:val="000000"/>
                <w:shd w:val="clear" w:color="auto" w:fill="FFFFFF"/>
              </w:rPr>
            </w:pPr>
          </w:p>
          <w:p w14:paraId="61B69318" w14:textId="44285C86" w:rsidR="00483D65" w:rsidRPr="00B50403" w:rsidRDefault="00B50403" w:rsidP="00B50403">
            <w:pPr>
              <w:pStyle w:val="ListParagraph"/>
              <w:ind w:left="360"/>
              <w:rPr>
                <w:rFonts w:ascii="Calibri" w:hAnsi="Calibri" w:cs="Calibri"/>
                <w:b/>
                <w:bCs/>
                <w:color w:val="000000"/>
                <w:shd w:val="clear" w:color="auto" w:fill="FFFFFF"/>
              </w:rPr>
            </w:pPr>
            <w:r w:rsidRPr="00B50403">
              <w:rPr>
                <w:rFonts w:ascii="Calibri" w:hAnsi="Calibri" w:cs="Calibri"/>
                <w:b/>
                <w:bCs/>
                <w:color w:val="000000"/>
                <w:shd w:val="clear" w:color="auto" w:fill="FFFFFF"/>
              </w:rPr>
              <w:t>Reference:</w:t>
            </w:r>
            <w:r w:rsidRPr="00B50403">
              <w:rPr>
                <w:rFonts w:ascii="Calibri" w:hAnsi="Calibri" w:cs="Calibri"/>
                <w:color w:val="000000"/>
                <w:shd w:val="clear" w:color="auto" w:fill="FFFFFF"/>
              </w:rPr>
              <w:t xml:space="preserve"> Annex B: GPP Criteria for Services and Contracting Works; Annex C: GPP Criteria for Tender Evaluation.</w:t>
            </w:r>
          </w:p>
          <w:p w14:paraId="6121927A" w14:textId="29E97C0B" w:rsidR="00B50403" w:rsidRPr="00B50403" w:rsidRDefault="00B50403" w:rsidP="00B50403">
            <w:pPr>
              <w:rPr>
                <w:rStyle w:val="normaltextrun"/>
                <w:rFonts w:ascii="Calibri" w:hAnsi="Calibri" w:cs="Calibri"/>
                <w:color w:val="000000"/>
                <w:shd w:val="clear" w:color="auto" w:fill="FFFFFF"/>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0BBA68D"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314C4D17" w:rsidR="009A5C4E" w:rsidRPr="0074258C" w:rsidRDefault="00B50403"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5909A3F4" w14:textId="69030E7A" w:rsidR="00B50403" w:rsidRDefault="00B50403" w:rsidP="00CF2E7C">
            <w:pPr>
              <w:rPr>
                <w:rFonts w:cstheme="minorHAnsi"/>
                <w:color w:val="000000"/>
                <w:shd w:val="clear" w:color="auto" w:fill="FFFFFF"/>
              </w:rPr>
            </w:pPr>
            <w:r w:rsidRPr="00B50403">
              <w:rPr>
                <w:rFonts w:cstheme="minorHAnsi"/>
                <w:color w:val="000000"/>
                <w:shd w:val="clear" w:color="auto" w:fill="FFFFFF"/>
              </w:rPr>
              <w:t>The Policy Tool allows and recommends that contract clauses or key performance indicators (KPIs) be used to monitor and report on environmental performance, such as compliance with technical specifications or achievement of sustainability objectives. For example, it recommends that environmental results be measured against desired outcomes and that lessons learned should feed back into procurement planning.</w:t>
            </w:r>
          </w:p>
          <w:p w14:paraId="6D4C1DA7" w14:textId="5C57381D" w:rsidR="00B50403" w:rsidRPr="00B50403" w:rsidRDefault="00B50403" w:rsidP="00CF2E7C">
            <w:pPr>
              <w:rPr>
                <w:rStyle w:val="normaltextrun"/>
                <w:rFonts w:cstheme="minorHAnsi"/>
                <w:color w:val="000000"/>
                <w:shd w:val="clear" w:color="auto" w:fill="FFFFFF"/>
              </w:rPr>
            </w:pPr>
            <w:r w:rsidRPr="00B50403">
              <w:rPr>
                <w:rFonts w:cstheme="minorHAnsi"/>
                <w:b/>
                <w:bCs/>
                <w:color w:val="000000"/>
                <w:shd w:val="clear" w:color="auto" w:fill="FFFFFF"/>
              </w:rPr>
              <w:t>Reference:</w:t>
            </w:r>
            <w:r w:rsidRPr="00B50403">
              <w:rPr>
                <w:rFonts w:cstheme="minorHAnsi"/>
                <w:color w:val="000000"/>
                <w:shd w:val="clear" w:color="auto" w:fill="FFFFFF"/>
              </w:rPr>
              <w:t xml:space="preserve"> Division Four: Implementation Framework, “Tender Award” (p. 17)</w:t>
            </w:r>
            <w:r>
              <w:rPr>
                <w:rFonts w:cstheme="minorHAnsi"/>
                <w:color w:val="000000"/>
                <w:shd w:val="clear" w:color="auto" w:fill="FFFFFF"/>
              </w:rPr>
              <w:t>.</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55E080D7" w:rsidR="009A5C4E" w:rsidRPr="0074258C" w:rsidRDefault="00B50403"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7447DDC8" w14:textId="77777777" w:rsidR="00B50403" w:rsidRDefault="00B50403" w:rsidP="00CF2E7C">
            <w:pPr>
              <w:rPr>
                <w:rFonts w:ascii="Mulish" w:hAnsi="Mulish"/>
                <w:color w:val="000000"/>
                <w:sz w:val="22"/>
                <w:szCs w:val="22"/>
                <w:shd w:val="clear" w:color="auto" w:fill="FFFFFF"/>
              </w:rPr>
            </w:pPr>
            <w:r w:rsidRPr="00B50403">
              <w:rPr>
                <w:rFonts w:ascii="Mulish" w:hAnsi="Mulish"/>
                <w:color w:val="000000"/>
                <w:sz w:val="22"/>
                <w:szCs w:val="22"/>
                <w:shd w:val="clear" w:color="auto" w:fill="FFFFFF"/>
              </w:rPr>
              <w:t>The Policy Tool allows and recommends that government entities monitor and report on the implementation of climate-aligned procurement (i.e., GPP compliance). Entities are required to report annually on their progress in implementing the Policy Tool, comparing achievements with targets and outlining mitigation measures if necessary. However, there is no central public reporting point specified; reporting is internal and consolidated by the GPP Administrator and Reem.</w:t>
            </w:r>
          </w:p>
          <w:p w14:paraId="350926DD" w14:textId="18B3A0B9" w:rsidR="009A5C4E" w:rsidRPr="00B50403" w:rsidRDefault="00B50403" w:rsidP="00CF2E7C">
            <w:pPr>
              <w:rPr>
                <w:rStyle w:val="normaltextrun"/>
                <w:rFonts w:ascii="Mulish" w:hAnsi="Mulish"/>
                <w:color w:val="000000"/>
                <w:sz w:val="22"/>
                <w:szCs w:val="22"/>
                <w:shd w:val="clear" w:color="auto" w:fill="FFFFFF"/>
              </w:rPr>
            </w:pPr>
            <w:r w:rsidRPr="00B50403">
              <w:rPr>
                <w:rFonts w:ascii="Mulish" w:hAnsi="Mulish"/>
                <w:color w:val="000000"/>
                <w:sz w:val="22"/>
                <w:szCs w:val="22"/>
                <w:shd w:val="clear" w:color="auto" w:fill="FFFFFF"/>
              </w:rPr>
              <w:br/>
            </w:r>
            <w:r w:rsidRPr="00B50403">
              <w:rPr>
                <w:rFonts w:ascii="Mulish" w:hAnsi="Mulish"/>
                <w:b/>
                <w:bCs/>
                <w:color w:val="000000"/>
                <w:sz w:val="22"/>
                <w:szCs w:val="22"/>
                <w:shd w:val="clear" w:color="auto" w:fill="FFFFFF"/>
              </w:rPr>
              <w:t>Reference:</w:t>
            </w:r>
            <w:r w:rsidRPr="00B50403">
              <w:rPr>
                <w:rFonts w:ascii="Mulish" w:hAnsi="Mulish"/>
                <w:color w:val="000000"/>
                <w:sz w:val="22"/>
                <w:szCs w:val="22"/>
                <w:shd w:val="clear" w:color="auto" w:fill="FFFFFF"/>
              </w:rPr>
              <w:t xml:space="preserve"> Division Four: Implementation Framework, “Progress Reporting” (p. 20)</w:t>
            </w:r>
            <w:r>
              <w:rPr>
                <w:rFonts w:ascii="Mulish" w:hAnsi="Mulish"/>
                <w:color w:val="000000"/>
                <w:sz w:val="22"/>
                <w:szCs w:val="22"/>
                <w:shd w:val="clear" w:color="auto" w:fill="FFFFFF"/>
              </w:rPr>
              <w:t>.</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19109A7D" w:rsidR="007802C6" w:rsidRPr="00CF2E7C" w:rsidRDefault="00B50403"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2D035ABE" w:rsidR="007802C6" w:rsidRPr="00CF2E7C" w:rsidRDefault="00B50403"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4BD00BD" w:rsidR="007802C6" w:rsidRPr="00CF2E7C" w:rsidRDefault="00B50403"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1D24B13" w:rsidR="007802C6" w:rsidRPr="00CF2E7C" w:rsidRDefault="00B50403"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B96C77B" w:rsidR="007802C6" w:rsidRPr="00CF2E7C" w:rsidRDefault="00B50403"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26FA0A2" w:rsidR="007802C6" w:rsidRPr="00CF2E7C" w:rsidRDefault="00B50403" w:rsidP="00CF2E7C">
            <w:pPr>
              <w:rPr>
                <w:rFonts w:ascii="Calibri" w:hAnsi="Calibri" w:cs="Calibri"/>
              </w:rPr>
            </w:pPr>
            <w:r>
              <w:rPr>
                <w:rFonts w:ascii="Calibri" w:hAnsi="Calibri" w:cs="Calibri"/>
              </w:rPr>
              <w:t>X</w:t>
            </w: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3F7256B8" w:rsidR="007802C6" w:rsidRPr="00CF2E7C" w:rsidRDefault="00B50403" w:rsidP="00CF2E7C">
            <w:pPr>
              <w:rPr>
                <w:rFonts w:ascii="Calibri" w:hAnsi="Calibri" w:cs="Calibri"/>
              </w:rPr>
            </w:pPr>
            <w:r>
              <w:rPr>
                <w:rFonts w:ascii="Calibri" w:hAnsi="Calibri" w:cs="Calibri"/>
              </w:rPr>
              <w:t>X</w:t>
            </w: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BC04C90" w:rsidR="007802C6" w:rsidRPr="00CF2E7C" w:rsidRDefault="00B50403"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B45FCE5" w:rsidR="007802C6" w:rsidRPr="00CF2E7C" w:rsidRDefault="00B50403"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70382BC" w:rsidR="007802C6" w:rsidRPr="00CF2E7C" w:rsidRDefault="00B50403"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CBB19D8" w:rsidR="007802C6" w:rsidRPr="00CF2E7C" w:rsidRDefault="00B50403"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0DB7279" w:rsidR="007802C6" w:rsidRPr="00CF2E7C" w:rsidRDefault="00B50403"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6DC3614C" w:rsidR="007802C6" w:rsidRPr="00CF2E7C" w:rsidRDefault="00B50403"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B789C8A" w:rsidR="007802C6" w:rsidRPr="00CF2E7C" w:rsidRDefault="00B50403"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5D1A44C1" w:rsidR="007802C6" w:rsidRPr="00CF2E7C" w:rsidRDefault="00B50403"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3925EC5" w:rsidR="007802C6" w:rsidRPr="00CF2E7C" w:rsidRDefault="00B50403"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514AAED7" w:rsidR="007802C6" w:rsidRPr="00CF2E7C" w:rsidRDefault="00B50403"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92250F0" w:rsidR="007802C6" w:rsidRPr="00CF2E7C" w:rsidRDefault="00B50403"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487D110" w:rsidR="007802C6" w:rsidRPr="00CF2E7C" w:rsidRDefault="00B50403"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196C56C4" w:rsidR="007802C6" w:rsidRPr="00CF2E7C" w:rsidRDefault="00B50403"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6C494BBB" w:rsidR="007802C6" w:rsidRPr="00CF2E7C" w:rsidRDefault="00B50403"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52EB3D6B" w:rsidR="007802C6" w:rsidRPr="00CF2E7C" w:rsidRDefault="00B50403"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D699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D699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D699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14CE91" w14:textId="77777777" w:rsidR="00DD3758" w:rsidRDefault="00DD3758" w:rsidP="00874E39">
      <w:r>
        <w:separator/>
      </w:r>
    </w:p>
  </w:endnote>
  <w:endnote w:type="continuationSeparator" w:id="0">
    <w:p w14:paraId="60D509FA" w14:textId="77777777" w:rsidR="00DD3758" w:rsidRDefault="00DD3758" w:rsidP="00874E39">
      <w:r>
        <w:continuationSeparator/>
      </w:r>
    </w:p>
  </w:endnote>
  <w:endnote w:type="continuationNotice" w:id="1">
    <w:p w14:paraId="7F74A9AB" w14:textId="77777777" w:rsidR="00DD3758" w:rsidRDefault="00DD37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BD082E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91C02E" w14:textId="77777777" w:rsidR="00DD3758" w:rsidRDefault="00DD3758" w:rsidP="00874E39">
      <w:r>
        <w:separator/>
      </w:r>
    </w:p>
  </w:footnote>
  <w:footnote w:type="continuationSeparator" w:id="0">
    <w:p w14:paraId="5A0D323A" w14:textId="77777777" w:rsidR="00DD3758" w:rsidRDefault="00DD3758" w:rsidP="00874E39">
      <w:r>
        <w:continuationSeparator/>
      </w:r>
    </w:p>
  </w:footnote>
  <w:footnote w:type="continuationNotice" w:id="1">
    <w:p w14:paraId="640488FB" w14:textId="77777777" w:rsidR="00DD3758" w:rsidRDefault="00DD37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0" w:hanging="360"/>
      </w:pPr>
    </w:lvl>
    <w:lvl w:ilvl="1" w:tplc="8028F7AA">
      <w:start w:val="1"/>
      <w:numFmt w:val="lowerLetter"/>
      <w:lvlText w:val="%2."/>
      <w:lvlJc w:val="left"/>
      <w:pPr>
        <w:ind w:left="720" w:hanging="360"/>
      </w:pPr>
    </w:lvl>
    <w:lvl w:ilvl="2" w:tplc="E10E78AC">
      <w:start w:val="1"/>
      <w:numFmt w:val="lowerRoman"/>
      <w:lvlText w:val="%3."/>
      <w:lvlJc w:val="right"/>
      <w:pPr>
        <w:ind w:left="1440" w:hanging="180"/>
      </w:pPr>
    </w:lvl>
    <w:lvl w:ilvl="3" w:tplc="CB6C810C">
      <w:start w:val="1"/>
      <w:numFmt w:val="decimal"/>
      <w:lvlText w:val="%4."/>
      <w:lvlJc w:val="left"/>
      <w:pPr>
        <w:ind w:left="2160" w:hanging="360"/>
      </w:pPr>
    </w:lvl>
    <w:lvl w:ilvl="4" w:tplc="40964A14">
      <w:start w:val="1"/>
      <w:numFmt w:val="lowerLetter"/>
      <w:lvlText w:val="%5."/>
      <w:lvlJc w:val="left"/>
      <w:pPr>
        <w:ind w:left="2880" w:hanging="360"/>
      </w:pPr>
    </w:lvl>
    <w:lvl w:ilvl="5" w:tplc="7942477E">
      <w:start w:val="1"/>
      <w:numFmt w:val="lowerRoman"/>
      <w:lvlText w:val="%6."/>
      <w:lvlJc w:val="right"/>
      <w:pPr>
        <w:ind w:left="3600" w:hanging="180"/>
      </w:pPr>
    </w:lvl>
    <w:lvl w:ilvl="6" w:tplc="12A0F3DE">
      <w:start w:val="1"/>
      <w:numFmt w:val="decimal"/>
      <w:lvlText w:val="%7."/>
      <w:lvlJc w:val="left"/>
      <w:pPr>
        <w:ind w:left="4320" w:hanging="360"/>
      </w:pPr>
    </w:lvl>
    <w:lvl w:ilvl="7" w:tplc="4A8407C6">
      <w:start w:val="1"/>
      <w:numFmt w:val="lowerLetter"/>
      <w:lvlText w:val="%8."/>
      <w:lvlJc w:val="left"/>
      <w:pPr>
        <w:ind w:left="5040" w:hanging="360"/>
      </w:pPr>
    </w:lvl>
    <w:lvl w:ilvl="8" w:tplc="B5922674">
      <w:start w:val="1"/>
      <w:numFmt w:val="lowerRoman"/>
      <w:lvlText w:val="%9."/>
      <w:lvlJc w:val="right"/>
      <w:pPr>
        <w:ind w:left="576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3F944C69"/>
    <w:multiLevelType w:val="hybridMultilevel"/>
    <w:tmpl w:val="FD4E1C52"/>
    <w:lvl w:ilvl="0" w:tplc="116EED6C">
      <w:numFmt w:val="bullet"/>
      <w:lvlText w:val="-"/>
      <w:lvlJc w:val="left"/>
      <w:pPr>
        <w:ind w:left="36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125686000">
    <w:abstractNumId w:val="2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442"/>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5B9"/>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922"/>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D7690"/>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403"/>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99D"/>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032"/>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758"/>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6E05"/>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772277">
      <w:bodyDiv w:val="1"/>
      <w:marLeft w:val="0"/>
      <w:marRight w:val="0"/>
      <w:marTop w:val="0"/>
      <w:marBottom w:val="0"/>
      <w:divBdr>
        <w:top w:val="none" w:sz="0" w:space="0" w:color="auto"/>
        <w:left w:val="none" w:sz="0" w:space="0" w:color="auto"/>
        <w:bottom w:val="none" w:sz="0" w:space="0" w:color="auto"/>
        <w:right w:val="none" w:sz="0" w:space="0" w:color="auto"/>
      </w:divBdr>
    </w:div>
    <w:div w:id="100226822">
      <w:bodyDiv w:val="1"/>
      <w:marLeft w:val="0"/>
      <w:marRight w:val="0"/>
      <w:marTop w:val="0"/>
      <w:marBottom w:val="0"/>
      <w:divBdr>
        <w:top w:val="none" w:sz="0" w:space="0" w:color="auto"/>
        <w:left w:val="none" w:sz="0" w:space="0" w:color="auto"/>
        <w:bottom w:val="none" w:sz="0" w:space="0" w:color="auto"/>
        <w:right w:val="none" w:sz="0" w:space="0" w:color="auto"/>
      </w:divBdr>
    </w:div>
    <w:div w:id="105279018">
      <w:bodyDiv w:val="1"/>
      <w:marLeft w:val="0"/>
      <w:marRight w:val="0"/>
      <w:marTop w:val="0"/>
      <w:marBottom w:val="0"/>
      <w:divBdr>
        <w:top w:val="none" w:sz="0" w:space="0" w:color="auto"/>
        <w:left w:val="none" w:sz="0" w:space="0" w:color="auto"/>
        <w:bottom w:val="none" w:sz="0" w:space="0" w:color="auto"/>
        <w:right w:val="none" w:sz="0" w:space="0" w:color="auto"/>
      </w:divBdr>
    </w:div>
    <w:div w:id="107311739">
      <w:bodyDiv w:val="1"/>
      <w:marLeft w:val="0"/>
      <w:marRight w:val="0"/>
      <w:marTop w:val="0"/>
      <w:marBottom w:val="0"/>
      <w:divBdr>
        <w:top w:val="none" w:sz="0" w:space="0" w:color="auto"/>
        <w:left w:val="none" w:sz="0" w:space="0" w:color="auto"/>
        <w:bottom w:val="none" w:sz="0" w:space="0" w:color="auto"/>
        <w:right w:val="none" w:sz="0" w:space="0" w:color="auto"/>
      </w:divBdr>
    </w:div>
    <w:div w:id="125592454">
      <w:bodyDiv w:val="1"/>
      <w:marLeft w:val="0"/>
      <w:marRight w:val="0"/>
      <w:marTop w:val="0"/>
      <w:marBottom w:val="0"/>
      <w:divBdr>
        <w:top w:val="none" w:sz="0" w:space="0" w:color="auto"/>
        <w:left w:val="none" w:sz="0" w:space="0" w:color="auto"/>
        <w:bottom w:val="none" w:sz="0" w:space="0" w:color="auto"/>
        <w:right w:val="none" w:sz="0" w:space="0" w:color="auto"/>
      </w:divBdr>
    </w:div>
    <w:div w:id="203909775">
      <w:bodyDiv w:val="1"/>
      <w:marLeft w:val="0"/>
      <w:marRight w:val="0"/>
      <w:marTop w:val="0"/>
      <w:marBottom w:val="0"/>
      <w:divBdr>
        <w:top w:val="none" w:sz="0" w:space="0" w:color="auto"/>
        <w:left w:val="none" w:sz="0" w:space="0" w:color="auto"/>
        <w:bottom w:val="none" w:sz="0" w:space="0" w:color="auto"/>
        <w:right w:val="none" w:sz="0" w:space="0" w:color="auto"/>
      </w:divBdr>
    </w:div>
    <w:div w:id="210073893">
      <w:bodyDiv w:val="1"/>
      <w:marLeft w:val="0"/>
      <w:marRight w:val="0"/>
      <w:marTop w:val="0"/>
      <w:marBottom w:val="0"/>
      <w:divBdr>
        <w:top w:val="none" w:sz="0" w:space="0" w:color="auto"/>
        <w:left w:val="none" w:sz="0" w:space="0" w:color="auto"/>
        <w:bottom w:val="none" w:sz="0" w:space="0" w:color="auto"/>
        <w:right w:val="none" w:sz="0" w:space="0" w:color="auto"/>
      </w:divBdr>
    </w:div>
    <w:div w:id="247034015">
      <w:bodyDiv w:val="1"/>
      <w:marLeft w:val="0"/>
      <w:marRight w:val="0"/>
      <w:marTop w:val="0"/>
      <w:marBottom w:val="0"/>
      <w:divBdr>
        <w:top w:val="none" w:sz="0" w:space="0" w:color="auto"/>
        <w:left w:val="none" w:sz="0" w:space="0" w:color="auto"/>
        <w:bottom w:val="none" w:sz="0" w:space="0" w:color="auto"/>
        <w:right w:val="none" w:sz="0" w:space="0" w:color="auto"/>
      </w:divBdr>
    </w:div>
    <w:div w:id="266280125">
      <w:bodyDiv w:val="1"/>
      <w:marLeft w:val="0"/>
      <w:marRight w:val="0"/>
      <w:marTop w:val="0"/>
      <w:marBottom w:val="0"/>
      <w:divBdr>
        <w:top w:val="none" w:sz="0" w:space="0" w:color="auto"/>
        <w:left w:val="none" w:sz="0" w:space="0" w:color="auto"/>
        <w:bottom w:val="none" w:sz="0" w:space="0" w:color="auto"/>
        <w:right w:val="none" w:sz="0" w:space="0" w:color="auto"/>
      </w:divBdr>
    </w:div>
    <w:div w:id="282158053">
      <w:bodyDiv w:val="1"/>
      <w:marLeft w:val="0"/>
      <w:marRight w:val="0"/>
      <w:marTop w:val="0"/>
      <w:marBottom w:val="0"/>
      <w:divBdr>
        <w:top w:val="none" w:sz="0" w:space="0" w:color="auto"/>
        <w:left w:val="none" w:sz="0" w:space="0" w:color="auto"/>
        <w:bottom w:val="none" w:sz="0" w:space="0" w:color="auto"/>
        <w:right w:val="none" w:sz="0" w:space="0" w:color="auto"/>
      </w:divBdr>
    </w:div>
    <w:div w:id="364715011">
      <w:bodyDiv w:val="1"/>
      <w:marLeft w:val="0"/>
      <w:marRight w:val="0"/>
      <w:marTop w:val="0"/>
      <w:marBottom w:val="0"/>
      <w:divBdr>
        <w:top w:val="none" w:sz="0" w:space="0" w:color="auto"/>
        <w:left w:val="none" w:sz="0" w:space="0" w:color="auto"/>
        <w:bottom w:val="none" w:sz="0" w:space="0" w:color="auto"/>
        <w:right w:val="none" w:sz="0" w:space="0" w:color="auto"/>
      </w:divBdr>
    </w:div>
    <w:div w:id="374627186">
      <w:bodyDiv w:val="1"/>
      <w:marLeft w:val="0"/>
      <w:marRight w:val="0"/>
      <w:marTop w:val="0"/>
      <w:marBottom w:val="0"/>
      <w:divBdr>
        <w:top w:val="none" w:sz="0" w:space="0" w:color="auto"/>
        <w:left w:val="none" w:sz="0" w:space="0" w:color="auto"/>
        <w:bottom w:val="none" w:sz="0" w:space="0" w:color="auto"/>
        <w:right w:val="none" w:sz="0" w:space="0" w:color="auto"/>
      </w:divBdr>
    </w:div>
    <w:div w:id="430472505">
      <w:bodyDiv w:val="1"/>
      <w:marLeft w:val="0"/>
      <w:marRight w:val="0"/>
      <w:marTop w:val="0"/>
      <w:marBottom w:val="0"/>
      <w:divBdr>
        <w:top w:val="none" w:sz="0" w:space="0" w:color="auto"/>
        <w:left w:val="none" w:sz="0" w:space="0" w:color="auto"/>
        <w:bottom w:val="none" w:sz="0" w:space="0" w:color="auto"/>
        <w:right w:val="none" w:sz="0" w:space="0" w:color="auto"/>
      </w:divBdr>
    </w:div>
    <w:div w:id="475688118">
      <w:bodyDiv w:val="1"/>
      <w:marLeft w:val="0"/>
      <w:marRight w:val="0"/>
      <w:marTop w:val="0"/>
      <w:marBottom w:val="0"/>
      <w:divBdr>
        <w:top w:val="none" w:sz="0" w:space="0" w:color="auto"/>
        <w:left w:val="none" w:sz="0" w:space="0" w:color="auto"/>
        <w:bottom w:val="none" w:sz="0" w:space="0" w:color="auto"/>
        <w:right w:val="none" w:sz="0" w:space="0" w:color="auto"/>
      </w:divBdr>
    </w:div>
    <w:div w:id="495462173">
      <w:bodyDiv w:val="1"/>
      <w:marLeft w:val="0"/>
      <w:marRight w:val="0"/>
      <w:marTop w:val="0"/>
      <w:marBottom w:val="0"/>
      <w:divBdr>
        <w:top w:val="none" w:sz="0" w:space="0" w:color="auto"/>
        <w:left w:val="none" w:sz="0" w:space="0" w:color="auto"/>
        <w:bottom w:val="none" w:sz="0" w:space="0" w:color="auto"/>
        <w:right w:val="none" w:sz="0" w:space="0" w:color="auto"/>
      </w:divBdr>
    </w:div>
    <w:div w:id="500434824">
      <w:bodyDiv w:val="1"/>
      <w:marLeft w:val="0"/>
      <w:marRight w:val="0"/>
      <w:marTop w:val="0"/>
      <w:marBottom w:val="0"/>
      <w:divBdr>
        <w:top w:val="none" w:sz="0" w:space="0" w:color="auto"/>
        <w:left w:val="none" w:sz="0" w:space="0" w:color="auto"/>
        <w:bottom w:val="none" w:sz="0" w:space="0" w:color="auto"/>
        <w:right w:val="none" w:sz="0" w:space="0" w:color="auto"/>
      </w:divBdr>
    </w:div>
    <w:div w:id="52672230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0383722">
      <w:bodyDiv w:val="1"/>
      <w:marLeft w:val="0"/>
      <w:marRight w:val="0"/>
      <w:marTop w:val="0"/>
      <w:marBottom w:val="0"/>
      <w:divBdr>
        <w:top w:val="none" w:sz="0" w:space="0" w:color="auto"/>
        <w:left w:val="none" w:sz="0" w:space="0" w:color="auto"/>
        <w:bottom w:val="none" w:sz="0" w:space="0" w:color="auto"/>
        <w:right w:val="none" w:sz="0" w:space="0" w:color="auto"/>
      </w:divBdr>
    </w:div>
    <w:div w:id="591355542">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7030735">
      <w:bodyDiv w:val="1"/>
      <w:marLeft w:val="0"/>
      <w:marRight w:val="0"/>
      <w:marTop w:val="0"/>
      <w:marBottom w:val="0"/>
      <w:divBdr>
        <w:top w:val="none" w:sz="0" w:space="0" w:color="auto"/>
        <w:left w:val="none" w:sz="0" w:space="0" w:color="auto"/>
        <w:bottom w:val="none" w:sz="0" w:space="0" w:color="auto"/>
        <w:right w:val="none" w:sz="0" w:space="0" w:color="auto"/>
      </w:divBdr>
    </w:div>
    <w:div w:id="643200133">
      <w:bodyDiv w:val="1"/>
      <w:marLeft w:val="0"/>
      <w:marRight w:val="0"/>
      <w:marTop w:val="0"/>
      <w:marBottom w:val="0"/>
      <w:divBdr>
        <w:top w:val="none" w:sz="0" w:space="0" w:color="auto"/>
        <w:left w:val="none" w:sz="0" w:space="0" w:color="auto"/>
        <w:bottom w:val="none" w:sz="0" w:space="0" w:color="auto"/>
        <w:right w:val="none" w:sz="0" w:space="0" w:color="auto"/>
      </w:divBdr>
    </w:div>
    <w:div w:id="649938996">
      <w:bodyDiv w:val="1"/>
      <w:marLeft w:val="0"/>
      <w:marRight w:val="0"/>
      <w:marTop w:val="0"/>
      <w:marBottom w:val="0"/>
      <w:divBdr>
        <w:top w:val="none" w:sz="0" w:space="0" w:color="auto"/>
        <w:left w:val="none" w:sz="0" w:space="0" w:color="auto"/>
        <w:bottom w:val="none" w:sz="0" w:space="0" w:color="auto"/>
        <w:right w:val="none" w:sz="0" w:space="0" w:color="auto"/>
      </w:divBdr>
    </w:div>
    <w:div w:id="654839740">
      <w:bodyDiv w:val="1"/>
      <w:marLeft w:val="0"/>
      <w:marRight w:val="0"/>
      <w:marTop w:val="0"/>
      <w:marBottom w:val="0"/>
      <w:divBdr>
        <w:top w:val="none" w:sz="0" w:space="0" w:color="auto"/>
        <w:left w:val="none" w:sz="0" w:space="0" w:color="auto"/>
        <w:bottom w:val="none" w:sz="0" w:space="0" w:color="auto"/>
        <w:right w:val="none" w:sz="0" w:space="0" w:color="auto"/>
      </w:divBdr>
    </w:div>
    <w:div w:id="655259076">
      <w:bodyDiv w:val="1"/>
      <w:marLeft w:val="0"/>
      <w:marRight w:val="0"/>
      <w:marTop w:val="0"/>
      <w:marBottom w:val="0"/>
      <w:divBdr>
        <w:top w:val="none" w:sz="0" w:space="0" w:color="auto"/>
        <w:left w:val="none" w:sz="0" w:space="0" w:color="auto"/>
        <w:bottom w:val="none" w:sz="0" w:space="0" w:color="auto"/>
        <w:right w:val="none" w:sz="0" w:space="0" w:color="auto"/>
      </w:divBdr>
    </w:div>
    <w:div w:id="675153679">
      <w:bodyDiv w:val="1"/>
      <w:marLeft w:val="0"/>
      <w:marRight w:val="0"/>
      <w:marTop w:val="0"/>
      <w:marBottom w:val="0"/>
      <w:divBdr>
        <w:top w:val="none" w:sz="0" w:space="0" w:color="auto"/>
        <w:left w:val="none" w:sz="0" w:space="0" w:color="auto"/>
        <w:bottom w:val="none" w:sz="0" w:space="0" w:color="auto"/>
        <w:right w:val="none" w:sz="0" w:space="0" w:color="auto"/>
      </w:divBdr>
    </w:div>
    <w:div w:id="725765779">
      <w:bodyDiv w:val="1"/>
      <w:marLeft w:val="0"/>
      <w:marRight w:val="0"/>
      <w:marTop w:val="0"/>
      <w:marBottom w:val="0"/>
      <w:divBdr>
        <w:top w:val="none" w:sz="0" w:space="0" w:color="auto"/>
        <w:left w:val="none" w:sz="0" w:space="0" w:color="auto"/>
        <w:bottom w:val="none" w:sz="0" w:space="0" w:color="auto"/>
        <w:right w:val="none" w:sz="0" w:space="0" w:color="auto"/>
      </w:divBdr>
    </w:div>
    <w:div w:id="726144745">
      <w:bodyDiv w:val="1"/>
      <w:marLeft w:val="0"/>
      <w:marRight w:val="0"/>
      <w:marTop w:val="0"/>
      <w:marBottom w:val="0"/>
      <w:divBdr>
        <w:top w:val="none" w:sz="0" w:space="0" w:color="auto"/>
        <w:left w:val="none" w:sz="0" w:space="0" w:color="auto"/>
        <w:bottom w:val="none" w:sz="0" w:space="0" w:color="auto"/>
        <w:right w:val="none" w:sz="0" w:space="0" w:color="auto"/>
      </w:divBdr>
    </w:div>
    <w:div w:id="761529490">
      <w:bodyDiv w:val="1"/>
      <w:marLeft w:val="0"/>
      <w:marRight w:val="0"/>
      <w:marTop w:val="0"/>
      <w:marBottom w:val="0"/>
      <w:divBdr>
        <w:top w:val="none" w:sz="0" w:space="0" w:color="auto"/>
        <w:left w:val="none" w:sz="0" w:space="0" w:color="auto"/>
        <w:bottom w:val="none" w:sz="0" w:space="0" w:color="auto"/>
        <w:right w:val="none" w:sz="0" w:space="0" w:color="auto"/>
      </w:divBdr>
    </w:div>
    <w:div w:id="763764641">
      <w:bodyDiv w:val="1"/>
      <w:marLeft w:val="0"/>
      <w:marRight w:val="0"/>
      <w:marTop w:val="0"/>
      <w:marBottom w:val="0"/>
      <w:divBdr>
        <w:top w:val="none" w:sz="0" w:space="0" w:color="auto"/>
        <w:left w:val="none" w:sz="0" w:space="0" w:color="auto"/>
        <w:bottom w:val="none" w:sz="0" w:space="0" w:color="auto"/>
        <w:right w:val="none" w:sz="0" w:space="0" w:color="auto"/>
      </w:divBdr>
    </w:div>
    <w:div w:id="76503377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985356">
      <w:bodyDiv w:val="1"/>
      <w:marLeft w:val="0"/>
      <w:marRight w:val="0"/>
      <w:marTop w:val="0"/>
      <w:marBottom w:val="0"/>
      <w:divBdr>
        <w:top w:val="none" w:sz="0" w:space="0" w:color="auto"/>
        <w:left w:val="none" w:sz="0" w:space="0" w:color="auto"/>
        <w:bottom w:val="none" w:sz="0" w:space="0" w:color="auto"/>
        <w:right w:val="none" w:sz="0" w:space="0" w:color="auto"/>
      </w:divBdr>
    </w:div>
    <w:div w:id="813987195">
      <w:bodyDiv w:val="1"/>
      <w:marLeft w:val="0"/>
      <w:marRight w:val="0"/>
      <w:marTop w:val="0"/>
      <w:marBottom w:val="0"/>
      <w:divBdr>
        <w:top w:val="none" w:sz="0" w:space="0" w:color="auto"/>
        <w:left w:val="none" w:sz="0" w:space="0" w:color="auto"/>
        <w:bottom w:val="none" w:sz="0" w:space="0" w:color="auto"/>
        <w:right w:val="none" w:sz="0" w:space="0" w:color="auto"/>
      </w:divBdr>
    </w:div>
    <w:div w:id="894009095">
      <w:bodyDiv w:val="1"/>
      <w:marLeft w:val="0"/>
      <w:marRight w:val="0"/>
      <w:marTop w:val="0"/>
      <w:marBottom w:val="0"/>
      <w:divBdr>
        <w:top w:val="none" w:sz="0" w:space="0" w:color="auto"/>
        <w:left w:val="none" w:sz="0" w:space="0" w:color="auto"/>
        <w:bottom w:val="none" w:sz="0" w:space="0" w:color="auto"/>
        <w:right w:val="none" w:sz="0" w:space="0" w:color="auto"/>
      </w:divBdr>
    </w:div>
    <w:div w:id="927497067">
      <w:bodyDiv w:val="1"/>
      <w:marLeft w:val="0"/>
      <w:marRight w:val="0"/>
      <w:marTop w:val="0"/>
      <w:marBottom w:val="0"/>
      <w:divBdr>
        <w:top w:val="none" w:sz="0" w:space="0" w:color="auto"/>
        <w:left w:val="none" w:sz="0" w:space="0" w:color="auto"/>
        <w:bottom w:val="none" w:sz="0" w:space="0" w:color="auto"/>
        <w:right w:val="none" w:sz="0" w:space="0" w:color="auto"/>
      </w:divBdr>
    </w:div>
    <w:div w:id="988048611">
      <w:bodyDiv w:val="1"/>
      <w:marLeft w:val="0"/>
      <w:marRight w:val="0"/>
      <w:marTop w:val="0"/>
      <w:marBottom w:val="0"/>
      <w:divBdr>
        <w:top w:val="none" w:sz="0" w:space="0" w:color="auto"/>
        <w:left w:val="none" w:sz="0" w:space="0" w:color="auto"/>
        <w:bottom w:val="none" w:sz="0" w:space="0" w:color="auto"/>
        <w:right w:val="none" w:sz="0" w:space="0" w:color="auto"/>
      </w:divBdr>
    </w:div>
    <w:div w:id="994916761">
      <w:bodyDiv w:val="1"/>
      <w:marLeft w:val="0"/>
      <w:marRight w:val="0"/>
      <w:marTop w:val="0"/>
      <w:marBottom w:val="0"/>
      <w:divBdr>
        <w:top w:val="none" w:sz="0" w:space="0" w:color="auto"/>
        <w:left w:val="none" w:sz="0" w:space="0" w:color="auto"/>
        <w:bottom w:val="none" w:sz="0" w:space="0" w:color="auto"/>
        <w:right w:val="none" w:sz="0" w:space="0" w:color="auto"/>
      </w:divBdr>
    </w:div>
    <w:div w:id="1005590571">
      <w:bodyDiv w:val="1"/>
      <w:marLeft w:val="0"/>
      <w:marRight w:val="0"/>
      <w:marTop w:val="0"/>
      <w:marBottom w:val="0"/>
      <w:divBdr>
        <w:top w:val="none" w:sz="0" w:space="0" w:color="auto"/>
        <w:left w:val="none" w:sz="0" w:space="0" w:color="auto"/>
        <w:bottom w:val="none" w:sz="0" w:space="0" w:color="auto"/>
        <w:right w:val="none" w:sz="0" w:space="0" w:color="auto"/>
      </w:divBdr>
    </w:div>
    <w:div w:id="1055852884">
      <w:bodyDiv w:val="1"/>
      <w:marLeft w:val="0"/>
      <w:marRight w:val="0"/>
      <w:marTop w:val="0"/>
      <w:marBottom w:val="0"/>
      <w:divBdr>
        <w:top w:val="none" w:sz="0" w:space="0" w:color="auto"/>
        <w:left w:val="none" w:sz="0" w:space="0" w:color="auto"/>
        <w:bottom w:val="none" w:sz="0" w:space="0" w:color="auto"/>
        <w:right w:val="none" w:sz="0" w:space="0" w:color="auto"/>
      </w:divBdr>
    </w:div>
    <w:div w:id="1073358592">
      <w:bodyDiv w:val="1"/>
      <w:marLeft w:val="0"/>
      <w:marRight w:val="0"/>
      <w:marTop w:val="0"/>
      <w:marBottom w:val="0"/>
      <w:divBdr>
        <w:top w:val="none" w:sz="0" w:space="0" w:color="auto"/>
        <w:left w:val="none" w:sz="0" w:space="0" w:color="auto"/>
        <w:bottom w:val="none" w:sz="0" w:space="0" w:color="auto"/>
        <w:right w:val="none" w:sz="0" w:space="0" w:color="auto"/>
      </w:divBdr>
    </w:div>
    <w:div w:id="1085803377">
      <w:bodyDiv w:val="1"/>
      <w:marLeft w:val="0"/>
      <w:marRight w:val="0"/>
      <w:marTop w:val="0"/>
      <w:marBottom w:val="0"/>
      <w:divBdr>
        <w:top w:val="none" w:sz="0" w:space="0" w:color="auto"/>
        <w:left w:val="none" w:sz="0" w:space="0" w:color="auto"/>
        <w:bottom w:val="none" w:sz="0" w:space="0" w:color="auto"/>
        <w:right w:val="none" w:sz="0" w:space="0" w:color="auto"/>
      </w:divBdr>
    </w:div>
    <w:div w:id="1099563464">
      <w:bodyDiv w:val="1"/>
      <w:marLeft w:val="0"/>
      <w:marRight w:val="0"/>
      <w:marTop w:val="0"/>
      <w:marBottom w:val="0"/>
      <w:divBdr>
        <w:top w:val="none" w:sz="0" w:space="0" w:color="auto"/>
        <w:left w:val="none" w:sz="0" w:space="0" w:color="auto"/>
        <w:bottom w:val="none" w:sz="0" w:space="0" w:color="auto"/>
        <w:right w:val="none" w:sz="0" w:space="0" w:color="auto"/>
      </w:divBdr>
      <w:divsChild>
        <w:div w:id="623195171">
          <w:marLeft w:val="0"/>
          <w:marRight w:val="0"/>
          <w:marTop w:val="0"/>
          <w:marBottom w:val="0"/>
          <w:divBdr>
            <w:top w:val="none" w:sz="0" w:space="0" w:color="auto"/>
            <w:left w:val="none" w:sz="0" w:space="0" w:color="auto"/>
            <w:bottom w:val="none" w:sz="0" w:space="0" w:color="auto"/>
            <w:right w:val="none" w:sz="0" w:space="0" w:color="auto"/>
          </w:divBdr>
          <w:divsChild>
            <w:div w:id="1040010530">
              <w:marLeft w:val="0"/>
              <w:marRight w:val="0"/>
              <w:marTop w:val="0"/>
              <w:marBottom w:val="0"/>
              <w:divBdr>
                <w:top w:val="none" w:sz="0" w:space="0" w:color="auto"/>
                <w:left w:val="none" w:sz="0" w:space="0" w:color="auto"/>
                <w:bottom w:val="none" w:sz="0" w:space="0" w:color="auto"/>
                <w:right w:val="none" w:sz="0" w:space="0" w:color="auto"/>
              </w:divBdr>
              <w:divsChild>
                <w:div w:id="453057406">
                  <w:marLeft w:val="0"/>
                  <w:marRight w:val="0"/>
                  <w:marTop w:val="0"/>
                  <w:marBottom w:val="0"/>
                  <w:divBdr>
                    <w:top w:val="none" w:sz="0" w:space="0" w:color="auto"/>
                    <w:left w:val="none" w:sz="0" w:space="0" w:color="auto"/>
                    <w:bottom w:val="none" w:sz="0" w:space="0" w:color="auto"/>
                    <w:right w:val="none" w:sz="0" w:space="0" w:color="auto"/>
                  </w:divBdr>
                  <w:divsChild>
                    <w:div w:id="44978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410896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7644762">
      <w:bodyDiv w:val="1"/>
      <w:marLeft w:val="0"/>
      <w:marRight w:val="0"/>
      <w:marTop w:val="0"/>
      <w:marBottom w:val="0"/>
      <w:divBdr>
        <w:top w:val="none" w:sz="0" w:space="0" w:color="auto"/>
        <w:left w:val="none" w:sz="0" w:space="0" w:color="auto"/>
        <w:bottom w:val="none" w:sz="0" w:space="0" w:color="auto"/>
        <w:right w:val="none" w:sz="0" w:space="0" w:color="auto"/>
      </w:divBdr>
    </w:div>
    <w:div w:id="1225798262">
      <w:bodyDiv w:val="1"/>
      <w:marLeft w:val="0"/>
      <w:marRight w:val="0"/>
      <w:marTop w:val="0"/>
      <w:marBottom w:val="0"/>
      <w:divBdr>
        <w:top w:val="none" w:sz="0" w:space="0" w:color="auto"/>
        <w:left w:val="none" w:sz="0" w:space="0" w:color="auto"/>
        <w:bottom w:val="none" w:sz="0" w:space="0" w:color="auto"/>
        <w:right w:val="none" w:sz="0" w:space="0" w:color="auto"/>
      </w:divBdr>
    </w:div>
    <w:div w:id="1234655256">
      <w:bodyDiv w:val="1"/>
      <w:marLeft w:val="0"/>
      <w:marRight w:val="0"/>
      <w:marTop w:val="0"/>
      <w:marBottom w:val="0"/>
      <w:divBdr>
        <w:top w:val="none" w:sz="0" w:space="0" w:color="auto"/>
        <w:left w:val="none" w:sz="0" w:space="0" w:color="auto"/>
        <w:bottom w:val="none" w:sz="0" w:space="0" w:color="auto"/>
        <w:right w:val="none" w:sz="0" w:space="0" w:color="auto"/>
      </w:divBdr>
    </w:div>
    <w:div w:id="1287927674">
      <w:bodyDiv w:val="1"/>
      <w:marLeft w:val="0"/>
      <w:marRight w:val="0"/>
      <w:marTop w:val="0"/>
      <w:marBottom w:val="0"/>
      <w:divBdr>
        <w:top w:val="none" w:sz="0" w:space="0" w:color="auto"/>
        <w:left w:val="none" w:sz="0" w:space="0" w:color="auto"/>
        <w:bottom w:val="none" w:sz="0" w:space="0" w:color="auto"/>
        <w:right w:val="none" w:sz="0" w:space="0" w:color="auto"/>
      </w:divBdr>
    </w:div>
    <w:div w:id="1358115880">
      <w:bodyDiv w:val="1"/>
      <w:marLeft w:val="0"/>
      <w:marRight w:val="0"/>
      <w:marTop w:val="0"/>
      <w:marBottom w:val="0"/>
      <w:divBdr>
        <w:top w:val="none" w:sz="0" w:space="0" w:color="auto"/>
        <w:left w:val="none" w:sz="0" w:space="0" w:color="auto"/>
        <w:bottom w:val="none" w:sz="0" w:space="0" w:color="auto"/>
        <w:right w:val="none" w:sz="0" w:space="0" w:color="auto"/>
      </w:divBdr>
    </w:div>
    <w:div w:id="1378314991">
      <w:bodyDiv w:val="1"/>
      <w:marLeft w:val="0"/>
      <w:marRight w:val="0"/>
      <w:marTop w:val="0"/>
      <w:marBottom w:val="0"/>
      <w:divBdr>
        <w:top w:val="none" w:sz="0" w:space="0" w:color="auto"/>
        <w:left w:val="none" w:sz="0" w:space="0" w:color="auto"/>
        <w:bottom w:val="none" w:sz="0" w:space="0" w:color="auto"/>
        <w:right w:val="none" w:sz="0" w:space="0" w:color="auto"/>
      </w:divBdr>
    </w:div>
    <w:div w:id="1382633717">
      <w:bodyDiv w:val="1"/>
      <w:marLeft w:val="0"/>
      <w:marRight w:val="0"/>
      <w:marTop w:val="0"/>
      <w:marBottom w:val="0"/>
      <w:divBdr>
        <w:top w:val="none" w:sz="0" w:space="0" w:color="auto"/>
        <w:left w:val="none" w:sz="0" w:space="0" w:color="auto"/>
        <w:bottom w:val="none" w:sz="0" w:space="0" w:color="auto"/>
        <w:right w:val="none" w:sz="0" w:space="0" w:color="auto"/>
      </w:divBdr>
    </w:div>
    <w:div w:id="1442796454">
      <w:bodyDiv w:val="1"/>
      <w:marLeft w:val="0"/>
      <w:marRight w:val="0"/>
      <w:marTop w:val="0"/>
      <w:marBottom w:val="0"/>
      <w:divBdr>
        <w:top w:val="none" w:sz="0" w:space="0" w:color="auto"/>
        <w:left w:val="none" w:sz="0" w:space="0" w:color="auto"/>
        <w:bottom w:val="none" w:sz="0" w:space="0" w:color="auto"/>
        <w:right w:val="none" w:sz="0" w:space="0" w:color="auto"/>
      </w:divBdr>
    </w:div>
    <w:div w:id="1470321139">
      <w:bodyDiv w:val="1"/>
      <w:marLeft w:val="0"/>
      <w:marRight w:val="0"/>
      <w:marTop w:val="0"/>
      <w:marBottom w:val="0"/>
      <w:divBdr>
        <w:top w:val="none" w:sz="0" w:space="0" w:color="auto"/>
        <w:left w:val="none" w:sz="0" w:space="0" w:color="auto"/>
        <w:bottom w:val="none" w:sz="0" w:space="0" w:color="auto"/>
        <w:right w:val="none" w:sz="0" w:space="0" w:color="auto"/>
      </w:divBdr>
    </w:div>
    <w:div w:id="1481769886">
      <w:bodyDiv w:val="1"/>
      <w:marLeft w:val="0"/>
      <w:marRight w:val="0"/>
      <w:marTop w:val="0"/>
      <w:marBottom w:val="0"/>
      <w:divBdr>
        <w:top w:val="none" w:sz="0" w:space="0" w:color="auto"/>
        <w:left w:val="none" w:sz="0" w:space="0" w:color="auto"/>
        <w:bottom w:val="none" w:sz="0" w:space="0" w:color="auto"/>
        <w:right w:val="none" w:sz="0" w:space="0" w:color="auto"/>
      </w:divBdr>
    </w:div>
    <w:div w:id="1501116647">
      <w:bodyDiv w:val="1"/>
      <w:marLeft w:val="0"/>
      <w:marRight w:val="0"/>
      <w:marTop w:val="0"/>
      <w:marBottom w:val="0"/>
      <w:divBdr>
        <w:top w:val="none" w:sz="0" w:space="0" w:color="auto"/>
        <w:left w:val="none" w:sz="0" w:space="0" w:color="auto"/>
        <w:bottom w:val="none" w:sz="0" w:space="0" w:color="auto"/>
        <w:right w:val="none" w:sz="0" w:space="0" w:color="auto"/>
      </w:divBdr>
    </w:div>
    <w:div w:id="1524779516">
      <w:bodyDiv w:val="1"/>
      <w:marLeft w:val="0"/>
      <w:marRight w:val="0"/>
      <w:marTop w:val="0"/>
      <w:marBottom w:val="0"/>
      <w:divBdr>
        <w:top w:val="none" w:sz="0" w:space="0" w:color="auto"/>
        <w:left w:val="none" w:sz="0" w:space="0" w:color="auto"/>
        <w:bottom w:val="none" w:sz="0" w:space="0" w:color="auto"/>
        <w:right w:val="none" w:sz="0" w:space="0" w:color="auto"/>
      </w:divBdr>
    </w:div>
    <w:div w:id="1552309656">
      <w:bodyDiv w:val="1"/>
      <w:marLeft w:val="0"/>
      <w:marRight w:val="0"/>
      <w:marTop w:val="0"/>
      <w:marBottom w:val="0"/>
      <w:divBdr>
        <w:top w:val="none" w:sz="0" w:space="0" w:color="auto"/>
        <w:left w:val="none" w:sz="0" w:space="0" w:color="auto"/>
        <w:bottom w:val="none" w:sz="0" w:space="0" w:color="auto"/>
        <w:right w:val="none" w:sz="0" w:space="0" w:color="auto"/>
      </w:divBdr>
    </w:div>
    <w:div w:id="1557232630">
      <w:bodyDiv w:val="1"/>
      <w:marLeft w:val="0"/>
      <w:marRight w:val="0"/>
      <w:marTop w:val="0"/>
      <w:marBottom w:val="0"/>
      <w:divBdr>
        <w:top w:val="none" w:sz="0" w:space="0" w:color="auto"/>
        <w:left w:val="none" w:sz="0" w:space="0" w:color="auto"/>
        <w:bottom w:val="none" w:sz="0" w:space="0" w:color="auto"/>
        <w:right w:val="none" w:sz="0" w:space="0" w:color="auto"/>
      </w:divBdr>
    </w:div>
    <w:div w:id="1578397681">
      <w:bodyDiv w:val="1"/>
      <w:marLeft w:val="0"/>
      <w:marRight w:val="0"/>
      <w:marTop w:val="0"/>
      <w:marBottom w:val="0"/>
      <w:divBdr>
        <w:top w:val="none" w:sz="0" w:space="0" w:color="auto"/>
        <w:left w:val="none" w:sz="0" w:space="0" w:color="auto"/>
        <w:bottom w:val="none" w:sz="0" w:space="0" w:color="auto"/>
        <w:right w:val="none" w:sz="0" w:space="0" w:color="auto"/>
      </w:divBdr>
    </w:div>
    <w:div w:id="1609654854">
      <w:bodyDiv w:val="1"/>
      <w:marLeft w:val="0"/>
      <w:marRight w:val="0"/>
      <w:marTop w:val="0"/>
      <w:marBottom w:val="0"/>
      <w:divBdr>
        <w:top w:val="none" w:sz="0" w:space="0" w:color="auto"/>
        <w:left w:val="none" w:sz="0" w:space="0" w:color="auto"/>
        <w:bottom w:val="none" w:sz="0" w:space="0" w:color="auto"/>
        <w:right w:val="none" w:sz="0" w:space="0" w:color="auto"/>
      </w:divBdr>
    </w:div>
    <w:div w:id="1613513539">
      <w:bodyDiv w:val="1"/>
      <w:marLeft w:val="0"/>
      <w:marRight w:val="0"/>
      <w:marTop w:val="0"/>
      <w:marBottom w:val="0"/>
      <w:divBdr>
        <w:top w:val="none" w:sz="0" w:space="0" w:color="auto"/>
        <w:left w:val="none" w:sz="0" w:space="0" w:color="auto"/>
        <w:bottom w:val="none" w:sz="0" w:space="0" w:color="auto"/>
        <w:right w:val="none" w:sz="0" w:space="0" w:color="auto"/>
      </w:divBdr>
      <w:divsChild>
        <w:div w:id="1211184945">
          <w:marLeft w:val="0"/>
          <w:marRight w:val="0"/>
          <w:marTop w:val="0"/>
          <w:marBottom w:val="0"/>
          <w:divBdr>
            <w:top w:val="none" w:sz="0" w:space="0" w:color="auto"/>
            <w:left w:val="none" w:sz="0" w:space="0" w:color="auto"/>
            <w:bottom w:val="none" w:sz="0" w:space="0" w:color="auto"/>
            <w:right w:val="none" w:sz="0" w:space="0" w:color="auto"/>
          </w:divBdr>
          <w:divsChild>
            <w:div w:id="410932595">
              <w:marLeft w:val="0"/>
              <w:marRight w:val="0"/>
              <w:marTop w:val="0"/>
              <w:marBottom w:val="0"/>
              <w:divBdr>
                <w:top w:val="none" w:sz="0" w:space="0" w:color="auto"/>
                <w:left w:val="none" w:sz="0" w:space="0" w:color="auto"/>
                <w:bottom w:val="none" w:sz="0" w:space="0" w:color="auto"/>
                <w:right w:val="none" w:sz="0" w:space="0" w:color="auto"/>
              </w:divBdr>
              <w:divsChild>
                <w:div w:id="1434130124">
                  <w:marLeft w:val="0"/>
                  <w:marRight w:val="0"/>
                  <w:marTop w:val="0"/>
                  <w:marBottom w:val="0"/>
                  <w:divBdr>
                    <w:top w:val="none" w:sz="0" w:space="0" w:color="auto"/>
                    <w:left w:val="none" w:sz="0" w:space="0" w:color="auto"/>
                    <w:bottom w:val="none" w:sz="0" w:space="0" w:color="auto"/>
                    <w:right w:val="none" w:sz="0" w:space="0" w:color="auto"/>
                  </w:divBdr>
                  <w:divsChild>
                    <w:div w:id="1152601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8830967">
      <w:bodyDiv w:val="1"/>
      <w:marLeft w:val="0"/>
      <w:marRight w:val="0"/>
      <w:marTop w:val="0"/>
      <w:marBottom w:val="0"/>
      <w:divBdr>
        <w:top w:val="none" w:sz="0" w:space="0" w:color="auto"/>
        <w:left w:val="none" w:sz="0" w:space="0" w:color="auto"/>
        <w:bottom w:val="none" w:sz="0" w:space="0" w:color="auto"/>
        <w:right w:val="none" w:sz="0" w:space="0" w:color="auto"/>
      </w:divBdr>
    </w:div>
    <w:div w:id="1639725100">
      <w:bodyDiv w:val="1"/>
      <w:marLeft w:val="0"/>
      <w:marRight w:val="0"/>
      <w:marTop w:val="0"/>
      <w:marBottom w:val="0"/>
      <w:divBdr>
        <w:top w:val="none" w:sz="0" w:space="0" w:color="auto"/>
        <w:left w:val="none" w:sz="0" w:space="0" w:color="auto"/>
        <w:bottom w:val="none" w:sz="0" w:space="0" w:color="auto"/>
        <w:right w:val="none" w:sz="0" w:space="0" w:color="auto"/>
      </w:divBdr>
    </w:div>
    <w:div w:id="1661811567">
      <w:bodyDiv w:val="1"/>
      <w:marLeft w:val="0"/>
      <w:marRight w:val="0"/>
      <w:marTop w:val="0"/>
      <w:marBottom w:val="0"/>
      <w:divBdr>
        <w:top w:val="none" w:sz="0" w:space="0" w:color="auto"/>
        <w:left w:val="none" w:sz="0" w:space="0" w:color="auto"/>
        <w:bottom w:val="none" w:sz="0" w:space="0" w:color="auto"/>
        <w:right w:val="none" w:sz="0" w:space="0" w:color="auto"/>
      </w:divBdr>
    </w:div>
    <w:div w:id="1753351669">
      <w:bodyDiv w:val="1"/>
      <w:marLeft w:val="0"/>
      <w:marRight w:val="0"/>
      <w:marTop w:val="0"/>
      <w:marBottom w:val="0"/>
      <w:divBdr>
        <w:top w:val="none" w:sz="0" w:space="0" w:color="auto"/>
        <w:left w:val="none" w:sz="0" w:space="0" w:color="auto"/>
        <w:bottom w:val="none" w:sz="0" w:space="0" w:color="auto"/>
        <w:right w:val="none" w:sz="0" w:space="0" w:color="auto"/>
      </w:divBdr>
    </w:div>
    <w:div w:id="181059374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3155566">
      <w:bodyDiv w:val="1"/>
      <w:marLeft w:val="0"/>
      <w:marRight w:val="0"/>
      <w:marTop w:val="0"/>
      <w:marBottom w:val="0"/>
      <w:divBdr>
        <w:top w:val="none" w:sz="0" w:space="0" w:color="auto"/>
        <w:left w:val="none" w:sz="0" w:space="0" w:color="auto"/>
        <w:bottom w:val="none" w:sz="0" w:space="0" w:color="auto"/>
        <w:right w:val="none" w:sz="0" w:space="0" w:color="auto"/>
      </w:divBdr>
    </w:div>
    <w:div w:id="1845586405">
      <w:bodyDiv w:val="1"/>
      <w:marLeft w:val="0"/>
      <w:marRight w:val="0"/>
      <w:marTop w:val="0"/>
      <w:marBottom w:val="0"/>
      <w:divBdr>
        <w:top w:val="none" w:sz="0" w:space="0" w:color="auto"/>
        <w:left w:val="none" w:sz="0" w:space="0" w:color="auto"/>
        <w:bottom w:val="none" w:sz="0" w:space="0" w:color="auto"/>
        <w:right w:val="none" w:sz="0" w:space="0" w:color="auto"/>
      </w:divBdr>
    </w:div>
    <w:div w:id="1859466846">
      <w:bodyDiv w:val="1"/>
      <w:marLeft w:val="0"/>
      <w:marRight w:val="0"/>
      <w:marTop w:val="0"/>
      <w:marBottom w:val="0"/>
      <w:divBdr>
        <w:top w:val="none" w:sz="0" w:space="0" w:color="auto"/>
        <w:left w:val="none" w:sz="0" w:space="0" w:color="auto"/>
        <w:bottom w:val="none" w:sz="0" w:space="0" w:color="auto"/>
        <w:right w:val="none" w:sz="0" w:space="0" w:color="auto"/>
      </w:divBdr>
    </w:div>
    <w:div w:id="1866602744">
      <w:bodyDiv w:val="1"/>
      <w:marLeft w:val="0"/>
      <w:marRight w:val="0"/>
      <w:marTop w:val="0"/>
      <w:marBottom w:val="0"/>
      <w:divBdr>
        <w:top w:val="none" w:sz="0" w:space="0" w:color="auto"/>
        <w:left w:val="none" w:sz="0" w:space="0" w:color="auto"/>
        <w:bottom w:val="none" w:sz="0" w:space="0" w:color="auto"/>
        <w:right w:val="none" w:sz="0" w:space="0" w:color="auto"/>
      </w:divBdr>
    </w:div>
    <w:div w:id="1952203704">
      <w:bodyDiv w:val="1"/>
      <w:marLeft w:val="0"/>
      <w:marRight w:val="0"/>
      <w:marTop w:val="0"/>
      <w:marBottom w:val="0"/>
      <w:divBdr>
        <w:top w:val="none" w:sz="0" w:space="0" w:color="auto"/>
        <w:left w:val="none" w:sz="0" w:space="0" w:color="auto"/>
        <w:bottom w:val="none" w:sz="0" w:space="0" w:color="auto"/>
        <w:right w:val="none" w:sz="0" w:space="0" w:color="auto"/>
      </w:divBdr>
    </w:div>
    <w:div w:id="1953322317">
      <w:bodyDiv w:val="1"/>
      <w:marLeft w:val="0"/>
      <w:marRight w:val="0"/>
      <w:marTop w:val="0"/>
      <w:marBottom w:val="0"/>
      <w:divBdr>
        <w:top w:val="none" w:sz="0" w:space="0" w:color="auto"/>
        <w:left w:val="none" w:sz="0" w:space="0" w:color="auto"/>
        <w:bottom w:val="none" w:sz="0" w:space="0" w:color="auto"/>
        <w:right w:val="none" w:sz="0" w:space="0" w:color="auto"/>
      </w:divBdr>
    </w:div>
    <w:div w:id="1996449037">
      <w:bodyDiv w:val="1"/>
      <w:marLeft w:val="0"/>
      <w:marRight w:val="0"/>
      <w:marTop w:val="0"/>
      <w:marBottom w:val="0"/>
      <w:divBdr>
        <w:top w:val="none" w:sz="0" w:space="0" w:color="auto"/>
        <w:left w:val="none" w:sz="0" w:space="0" w:color="auto"/>
        <w:bottom w:val="none" w:sz="0" w:space="0" w:color="auto"/>
        <w:right w:val="none" w:sz="0" w:space="0" w:color="auto"/>
      </w:divBdr>
    </w:div>
    <w:div w:id="2006394659">
      <w:bodyDiv w:val="1"/>
      <w:marLeft w:val="0"/>
      <w:marRight w:val="0"/>
      <w:marTop w:val="0"/>
      <w:marBottom w:val="0"/>
      <w:divBdr>
        <w:top w:val="none" w:sz="0" w:space="0" w:color="auto"/>
        <w:left w:val="none" w:sz="0" w:space="0" w:color="auto"/>
        <w:bottom w:val="none" w:sz="0" w:space="0" w:color="auto"/>
        <w:right w:val="none" w:sz="0" w:space="0" w:color="auto"/>
      </w:divBdr>
    </w:div>
    <w:div w:id="205103249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476705">
      <w:bodyDiv w:val="1"/>
      <w:marLeft w:val="0"/>
      <w:marRight w:val="0"/>
      <w:marTop w:val="0"/>
      <w:marBottom w:val="0"/>
      <w:divBdr>
        <w:top w:val="none" w:sz="0" w:space="0" w:color="auto"/>
        <w:left w:val="none" w:sz="0" w:space="0" w:color="auto"/>
        <w:bottom w:val="none" w:sz="0" w:space="0" w:color="auto"/>
        <w:right w:val="none" w:sz="0" w:space="0" w:color="auto"/>
      </w:divBdr>
    </w:div>
    <w:div w:id="2109545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reem.rak.ae/wp-content/uploads/2025/02/202411-Resolution-no.-19-of-2024-for-Adoption-of-Green-Procurement_Unofficial-Translation-vf.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rakmediaoffice.ae/en/media-center/press-releases/ras-al-khaimah-municipality-launches-green-public-procurement-initiativ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reem.rak.ae/wp-content/uploads/2025/02/202412-Green-Public-Procurement-Guidelines-for-Resolution-19_-EN_-vf_Approved.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mepmiddleeast.com/projects/76098-ras-al-khaimah-municipality-launches-green-public-procurement-to-reduce-environmental-impact-and-bring-economic"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ww.wam.ae/en/details/1395302887466"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1668</TotalTime>
  <Pages>115</Pages>
  <Words>24535</Words>
  <Characters>136170</Characters>
  <Application>Microsoft Office Word</Application>
  <DocSecurity>0</DocSecurity>
  <Lines>5043</Lines>
  <Paragraphs>2634</Paragraphs>
  <ScaleCrop>false</ScaleCrop>
  <Company/>
  <LinksUpToDate>false</LinksUpToDate>
  <CharactersWithSpaces>158071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5</cp:revision>
  <cp:lastPrinted>2025-03-21T00:14:00Z</cp:lastPrinted>
  <dcterms:created xsi:type="dcterms:W3CDTF">2025-07-07T01:08:00Z</dcterms:created>
  <dcterms:modified xsi:type="dcterms:W3CDTF">2025-08-13T19:05:00Z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